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7B5F926" w14:textId="77777777" w:rsidR="00D06093" w:rsidRPr="001422F8" w:rsidRDefault="003E4039" w:rsidP="003E4039">
      <w:pPr>
        <w:jc w:val="center"/>
        <w:rPr>
          <w:rFonts w:ascii="Calibri" w:hAnsi="Calibri"/>
          <w:b/>
          <w:sz w:val="28"/>
          <w:szCs w:val="24"/>
        </w:rPr>
      </w:pPr>
      <w:r w:rsidRPr="001422F8">
        <w:rPr>
          <w:rFonts w:ascii="Calibri" w:hAnsi="Calibri"/>
          <w:b/>
          <w:sz w:val="28"/>
          <w:szCs w:val="24"/>
        </w:rPr>
        <w:t>WELDED WIRE WALL</w:t>
      </w:r>
    </w:p>
    <w:p w14:paraId="1B240C8F" w14:textId="77777777" w:rsidR="003E4039" w:rsidRPr="001422F8" w:rsidRDefault="003E4039" w:rsidP="003E4039">
      <w:pPr>
        <w:jc w:val="center"/>
        <w:rPr>
          <w:rFonts w:ascii="Calibri" w:hAnsi="Calibri"/>
          <w:b/>
          <w:sz w:val="24"/>
          <w:szCs w:val="24"/>
        </w:rPr>
      </w:pPr>
      <w:r w:rsidRPr="001422F8">
        <w:rPr>
          <w:rFonts w:ascii="Calibri" w:hAnsi="Calibri"/>
          <w:b/>
          <w:sz w:val="24"/>
          <w:szCs w:val="24"/>
        </w:rPr>
        <w:t>Differential Settlement &amp; Compressible Facing</w:t>
      </w:r>
    </w:p>
    <w:p w14:paraId="51029733" w14:textId="77777777" w:rsidR="00D06093" w:rsidRPr="001422F8" w:rsidRDefault="00D06093" w:rsidP="00091439">
      <w:pPr>
        <w:jc w:val="both"/>
        <w:rPr>
          <w:rFonts w:ascii="Calibri" w:hAnsi="Calibri"/>
          <w:sz w:val="22"/>
          <w:szCs w:val="22"/>
        </w:rPr>
      </w:pPr>
    </w:p>
    <w:p w14:paraId="6B6F63C7" w14:textId="77777777" w:rsidR="005910EE" w:rsidRPr="001422F8" w:rsidRDefault="005910EE" w:rsidP="00091439">
      <w:pPr>
        <w:jc w:val="both"/>
        <w:rPr>
          <w:rFonts w:ascii="Calibri" w:hAnsi="Calibri"/>
          <w:sz w:val="22"/>
          <w:szCs w:val="22"/>
        </w:rPr>
      </w:pPr>
    </w:p>
    <w:p w14:paraId="2B53CAD8" w14:textId="77777777" w:rsidR="00F07679" w:rsidRPr="001422F8" w:rsidRDefault="00F07679" w:rsidP="00091439">
      <w:pPr>
        <w:shd w:val="clear" w:color="auto" w:fill="FFFFFF"/>
        <w:jc w:val="both"/>
        <w:rPr>
          <w:rFonts w:ascii="Calibri" w:hAnsi="Calibri"/>
          <w:sz w:val="22"/>
          <w:szCs w:val="22"/>
        </w:rPr>
      </w:pPr>
      <w:r w:rsidRPr="001422F8">
        <w:rPr>
          <w:rFonts w:ascii="Calibri" w:hAnsi="Calibri"/>
          <w:sz w:val="22"/>
          <w:szCs w:val="22"/>
        </w:rPr>
        <w:t>Some of the main reasons Hilfiker’s Welded Wire Wall</w:t>
      </w:r>
      <w:r w:rsidR="009B2970" w:rsidRPr="001422F8">
        <w:rPr>
          <w:rFonts w:ascii="Calibri" w:hAnsi="Calibri"/>
          <w:sz w:val="22"/>
          <w:szCs w:val="22"/>
        </w:rPr>
        <w:t xml:space="preserve"> (WWW)</w:t>
      </w:r>
      <w:r w:rsidRPr="001422F8">
        <w:rPr>
          <w:rFonts w:ascii="Calibri" w:hAnsi="Calibri"/>
          <w:sz w:val="22"/>
          <w:szCs w:val="22"/>
        </w:rPr>
        <w:t xml:space="preserve"> is well-liked and chosen over other types of MSE systems are:</w:t>
      </w:r>
    </w:p>
    <w:p w14:paraId="48999C8E" w14:textId="77777777" w:rsidR="00F07679" w:rsidRDefault="00F07679" w:rsidP="00091439">
      <w:pPr>
        <w:numPr>
          <w:ilvl w:val="0"/>
          <w:numId w:val="6"/>
        </w:numPr>
        <w:shd w:val="clear" w:color="auto" w:fill="FFFFFF"/>
        <w:jc w:val="both"/>
        <w:rPr>
          <w:rFonts w:ascii="Calibri" w:hAnsi="Calibri"/>
          <w:sz w:val="22"/>
          <w:szCs w:val="22"/>
        </w:rPr>
      </w:pPr>
      <w:r>
        <w:rPr>
          <w:rFonts w:ascii="Calibri" w:hAnsi="Calibri"/>
          <w:sz w:val="22"/>
          <w:szCs w:val="22"/>
        </w:rPr>
        <w:t>It is a flexible-faced structure</w:t>
      </w:r>
      <w:r w:rsidRPr="00F07679">
        <w:rPr>
          <w:rFonts w:ascii="Calibri" w:hAnsi="Calibri"/>
          <w:sz w:val="22"/>
          <w:szCs w:val="22"/>
        </w:rPr>
        <w:t xml:space="preserve">; settlement is generally not an issue, unlike concrete </w:t>
      </w:r>
      <w:r>
        <w:rPr>
          <w:rFonts w:ascii="Calibri" w:hAnsi="Calibri"/>
          <w:sz w:val="22"/>
          <w:szCs w:val="22"/>
        </w:rPr>
        <w:t xml:space="preserve">structures </w:t>
      </w:r>
      <w:r w:rsidRPr="00F07679">
        <w:rPr>
          <w:rFonts w:ascii="Calibri" w:hAnsi="Calibri"/>
          <w:sz w:val="22"/>
          <w:szCs w:val="22"/>
        </w:rPr>
        <w:t xml:space="preserve">which will </w:t>
      </w:r>
      <w:proofErr w:type="gramStart"/>
      <w:r>
        <w:rPr>
          <w:rFonts w:ascii="Calibri" w:hAnsi="Calibri"/>
          <w:sz w:val="22"/>
          <w:szCs w:val="22"/>
        </w:rPr>
        <w:t>crack with</w:t>
      </w:r>
      <w:proofErr w:type="gramEnd"/>
      <w:r>
        <w:rPr>
          <w:rFonts w:ascii="Calibri" w:hAnsi="Calibri"/>
          <w:sz w:val="22"/>
          <w:szCs w:val="22"/>
        </w:rPr>
        <w:t xml:space="preserve"> settlement. </w:t>
      </w:r>
      <w:r w:rsidRPr="00F07679">
        <w:rPr>
          <w:rFonts w:ascii="Calibri" w:hAnsi="Calibri"/>
          <w:sz w:val="22"/>
          <w:szCs w:val="22"/>
        </w:rPr>
        <w:t xml:space="preserve"> We don’t.</w:t>
      </w:r>
    </w:p>
    <w:p w14:paraId="4817D67E" w14:textId="77777777" w:rsidR="00200AC5" w:rsidRPr="00200AC5" w:rsidRDefault="00200AC5" w:rsidP="00200AC5">
      <w:pPr>
        <w:numPr>
          <w:ilvl w:val="0"/>
          <w:numId w:val="6"/>
        </w:numPr>
        <w:shd w:val="clear" w:color="auto" w:fill="FFFFFF"/>
        <w:jc w:val="both"/>
        <w:rPr>
          <w:rFonts w:ascii="Calibri" w:hAnsi="Calibri"/>
          <w:sz w:val="22"/>
          <w:szCs w:val="22"/>
        </w:rPr>
      </w:pPr>
      <w:r>
        <w:rPr>
          <w:rFonts w:ascii="Calibri" w:hAnsi="Calibri"/>
          <w:sz w:val="22"/>
          <w:szCs w:val="22"/>
        </w:rPr>
        <w:t>It is cost-efficient, both from a material procurement and installed-cost standpoint.</w:t>
      </w:r>
    </w:p>
    <w:p w14:paraId="558C709F" w14:textId="77777777" w:rsidR="00F07679" w:rsidRPr="001422F8" w:rsidRDefault="00F07679" w:rsidP="00091439">
      <w:pPr>
        <w:numPr>
          <w:ilvl w:val="0"/>
          <w:numId w:val="6"/>
        </w:numPr>
        <w:shd w:val="clear" w:color="auto" w:fill="FFFFFF"/>
        <w:jc w:val="both"/>
        <w:rPr>
          <w:rFonts w:ascii="Calibri" w:hAnsi="Calibri"/>
          <w:sz w:val="22"/>
          <w:szCs w:val="22"/>
        </w:rPr>
      </w:pPr>
      <w:r w:rsidRPr="001422F8">
        <w:rPr>
          <w:rFonts w:ascii="Calibri" w:hAnsi="Calibri"/>
          <w:sz w:val="22"/>
          <w:szCs w:val="22"/>
        </w:rPr>
        <w:t>It is strong and durable and can handle an incredible amount of abuse</w:t>
      </w:r>
      <w:r w:rsidR="00091439" w:rsidRPr="001422F8">
        <w:rPr>
          <w:rFonts w:ascii="Calibri" w:hAnsi="Calibri"/>
          <w:sz w:val="22"/>
          <w:szCs w:val="22"/>
        </w:rPr>
        <w:t xml:space="preserve"> and movement</w:t>
      </w:r>
      <w:r w:rsidRPr="001422F8">
        <w:rPr>
          <w:rFonts w:ascii="Calibri" w:hAnsi="Calibri"/>
          <w:sz w:val="22"/>
          <w:szCs w:val="22"/>
        </w:rPr>
        <w:t xml:space="preserve">. </w:t>
      </w:r>
    </w:p>
    <w:p w14:paraId="07C95D3B" w14:textId="77777777" w:rsidR="00F07679" w:rsidRPr="001422F8" w:rsidRDefault="00F07679" w:rsidP="00091439">
      <w:pPr>
        <w:jc w:val="both"/>
        <w:rPr>
          <w:rFonts w:ascii="Calibri" w:hAnsi="Calibri" w:cs="Arial"/>
          <w:sz w:val="22"/>
          <w:szCs w:val="22"/>
        </w:rPr>
      </w:pPr>
    </w:p>
    <w:p w14:paraId="530A4F43" w14:textId="77777777" w:rsidR="005910EE" w:rsidRPr="001422F8" w:rsidRDefault="005910EE" w:rsidP="00091439">
      <w:pPr>
        <w:jc w:val="both"/>
        <w:rPr>
          <w:rFonts w:ascii="Calibri" w:hAnsi="Calibri" w:cs="Arial"/>
          <w:sz w:val="22"/>
          <w:szCs w:val="22"/>
        </w:rPr>
      </w:pPr>
    </w:p>
    <w:p w14:paraId="4D8FAB56" w14:textId="77777777" w:rsidR="00F07679" w:rsidRPr="001422F8" w:rsidRDefault="009B2970" w:rsidP="00091439">
      <w:pPr>
        <w:jc w:val="both"/>
        <w:rPr>
          <w:rFonts w:ascii="Calibri" w:hAnsi="Calibri" w:cs="Arial"/>
          <w:b/>
          <w:sz w:val="22"/>
          <w:szCs w:val="22"/>
        </w:rPr>
      </w:pPr>
      <w:r w:rsidRPr="001422F8">
        <w:rPr>
          <w:rFonts w:ascii="Calibri" w:hAnsi="Calibri" w:cs="Arial"/>
          <w:b/>
          <w:sz w:val="22"/>
          <w:szCs w:val="22"/>
        </w:rPr>
        <w:t>Compressible Facing</w:t>
      </w:r>
    </w:p>
    <w:p w14:paraId="1BACCE99" w14:textId="77777777" w:rsidR="003E4039" w:rsidRPr="001422F8" w:rsidRDefault="00F07679" w:rsidP="00091439">
      <w:pPr>
        <w:jc w:val="both"/>
        <w:rPr>
          <w:rFonts w:ascii="Calibri" w:hAnsi="Calibri"/>
          <w:spacing w:val="-2"/>
          <w:sz w:val="22"/>
          <w:szCs w:val="22"/>
        </w:rPr>
      </w:pPr>
      <w:r w:rsidRPr="001422F8">
        <w:rPr>
          <w:rFonts w:ascii="Calibri" w:hAnsi="Calibri" w:cs="Arial"/>
          <w:sz w:val="22"/>
          <w:szCs w:val="22"/>
        </w:rPr>
        <w:t xml:space="preserve">Hilfiker Retaining Walls developed the compressible facing for the </w:t>
      </w:r>
      <w:r w:rsidR="009B2970" w:rsidRPr="001422F8">
        <w:rPr>
          <w:rFonts w:ascii="Calibri" w:hAnsi="Calibri" w:cs="Arial"/>
          <w:sz w:val="22"/>
          <w:szCs w:val="22"/>
        </w:rPr>
        <w:t>WWW</w:t>
      </w:r>
      <w:r w:rsidRPr="001422F8">
        <w:rPr>
          <w:rFonts w:ascii="Calibri" w:hAnsi="Calibri" w:cs="Arial"/>
          <w:sz w:val="22"/>
          <w:szCs w:val="22"/>
        </w:rPr>
        <w:t xml:space="preserve"> in the mid-90’s, which mitigates post-construction bulging in the layers and facing deformation. This feature allows our walls to accommodate differential </w:t>
      </w:r>
      <w:proofErr w:type="gramStart"/>
      <w:r w:rsidRPr="001422F8">
        <w:rPr>
          <w:rFonts w:ascii="Calibri" w:hAnsi="Calibri" w:cs="Arial"/>
          <w:sz w:val="22"/>
          <w:szCs w:val="22"/>
        </w:rPr>
        <w:t>settlement, and</w:t>
      </w:r>
      <w:proofErr w:type="gramEnd"/>
      <w:r w:rsidRPr="001422F8">
        <w:rPr>
          <w:rFonts w:ascii="Calibri" w:hAnsi="Calibri" w:cs="Arial"/>
          <w:sz w:val="22"/>
          <w:szCs w:val="22"/>
        </w:rPr>
        <w:t xml:space="preserve"> also has labor and equipment advantages during construction. Some agencies have since adopted and required this feature in their project specifications for wire-faced walls.</w:t>
      </w:r>
      <w:r w:rsidR="00E055FE" w:rsidRPr="001422F8">
        <w:rPr>
          <w:rFonts w:ascii="Calibri" w:hAnsi="Calibri" w:cs="Arial"/>
          <w:sz w:val="22"/>
          <w:szCs w:val="22"/>
        </w:rPr>
        <w:t xml:space="preserve">  </w:t>
      </w:r>
      <w:r w:rsidR="003E4039" w:rsidRPr="001422F8">
        <w:rPr>
          <w:rFonts w:ascii="Calibri" w:hAnsi="Calibri"/>
          <w:spacing w:val="-2"/>
          <w:sz w:val="22"/>
          <w:szCs w:val="22"/>
        </w:rPr>
        <w:t>In general, Hilfiker Walls with wire mesh reinforcement [transverse and longitudinal wires] are better</w:t>
      </w:r>
      <w:r w:rsidR="006114A7">
        <w:rPr>
          <w:rFonts w:ascii="Calibri" w:hAnsi="Calibri"/>
          <w:spacing w:val="-2"/>
          <w:sz w:val="22"/>
          <w:szCs w:val="22"/>
        </w:rPr>
        <w:t xml:space="preserve"> able than other MSE soil systems to withstand</w:t>
      </w:r>
      <w:r w:rsidR="003E4039" w:rsidRPr="001422F8">
        <w:rPr>
          <w:rFonts w:ascii="Calibri" w:hAnsi="Calibri"/>
          <w:spacing w:val="-2"/>
          <w:sz w:val="22"/>
          <w:szCs w:val="22"/>
        </w:rPr>
        <w:t xml:space="preserve"> differential settlement, lateral movement, and other types of abuse.  </w:t>
      </w:r>
    </w:p>
    <w:p w14:paraId="4F7E7A94" w14:textId="77777777" w:rsidR="003E4039" w:rsidRPr="001422F8" w:rsidRDefault="003E4039" w:rsidP="00091439">
      <w:pPr>
        <w:jc w:val="both"/>
        <w:rPr>
          <w:rFonts w:ascii="Calibri" w:hAnsi="Calibri"/>
          <w:spacing w:val="-2"/>
          <w:sz w:val="22"/>
          <w:szCs w:val="22"/>
        </w:rPr>
      </w:pPr>
    </w:p>
    <w:p w14:paraId="4231660B" w14:textId="77777777" w:rsidR="003E4039" w:rsidRPr="001422F8" w:rsidRDefault="009B2970" w:rsidP="00091439">
      <w:pPr>
        <w:pStyle w:val="ListParagraph"/>
        <w:ind w:left="0"/>
        <w:jc w:val="both"/>
        <w:rPr>
          <w:rFonts w:ascii="Calibri" w:hAnsi="Calibri"/>
          <w:sz w:val="22"/>
          <w:szCs w:val="22"/>
        </w:rPr>
      </w:pPr>
      <w:r>
        <w:rPr>
          <w:rFonts w:ascii="Calibri" w:hAnsi="Calibri"/>
          <w:sz w:val="22"/>
          <w:szCs w:val="22"/>
        </w:rPr>
        <w:t>T</w:t>
      </w:r>
      <w:r w:rsidRPr="009B2970">
        <w:rPr>
          <w:rFonts w:ascii="Calibri" w:hAnsi="Calibri"/>
          <w:sz w:val="22"/>
          <w:szCs w:val="22"/>
        </w:rPr>
        <w:t>he first project utilizing this system improvement</w:t>
      </w:r>
      <w:r w:rsidR="00E055FE">
        <w:rPr>
          <w:rFonts w:ascii="Calibri" w:hAnsi="Calibri"/>
          <w:sz w:val="22"/>
          <w:szCs w:val="22"/>
        </w:rPr>
        <w:t>:</w:t>
      </w:r>
    </w:p>
    <w:p w14:paraId="7C248B82" w14:textId="77777777" w:rsidR="003E4039" w:rsidRPr="001422F8" w:rsidRDefault="003E4039" w:rsidP="00091439">
      <w:pPr>
        <w:ind w:left="720"/>
        <w:jc w:val="both"/>
        <w:rPr>
          <w:rFonts w:ascii="Calibri" w:hAnsi="Calibri"/>
          <w:sz w:val="22"/>
          <w:szCs w:val="22"/>
        </w:rPr>
      </w:pPr>
      <w:r w:rsidRPr="001422F8">
        <w:rPr>
          <w:rFonts w:ascii="Calibri" w:hAnsi="Calibri"/>
          <w:sz w:val="22"/>
          <w:szCs w:val="22"/>
        </w:rPr>
        <w:t xml:space="preserve">SR 101, MP 321 and 322 Vic. Slide </w:t>
      </w:r>
      <w:r w:rsidR="009B2970" w:rsidRPr="001422F8">
        <w:rPr>
          <w:rFonts w:ascii="Calibri" w:hAnsi="Calibri"/>
          <w:sz w:val="22"/>
          <w:szCs w:val="22"/>
        </w:rPr>
        <w:t>(HRW: 000407BW)</w:t>
      </w:r>
      <w:r w:rsidR="00E055FE" w:rsidRPr="001422F8">
        <w:rPr>
          <w:rFonts w:ascii="Calibri" w:hAnsi="Calibri"/>
          <w:sz w:val="22"/>
          <w:szCs w:val="22"/>
        </w:rPr>
        <w:t xml:space="preserve">; </w:t>
      </w:r>
      <w:r w:rsidR="00E055FE" w:rsidRPr="00E055FE">
        <w:rPr>
          <w:rFonts w:ascii="Calibri" w:hAnsi="Calibri"/>
          <w:sz w:val="22"/>
          <w:szCs w:val="22"/>
        </w:rPr>
        <w:t>Mason County, WA</w:t>
      </w:r>
      <w:r w:rsidR="00E055FE">
        <w:rPr>
          <w:rFonts w:ascii="Calibri" w:hAnsi="Calibri"/>
          <w:sz w:val="22"/>
          <w:szCs w:val="22"/>
        </w:rPr>
        <w:t xml:space="preserve">; </w:t>
      </w:r>
      <w:r w:rsidRPr="001422F8">
        <w:rPr>
          <w:rFonts w:ascii="Calibri" w:hAnsi="Calibri"/>
          <w:sz w:val="22"/>
          <w:szCs w:val="22"/>
        </w:rPr>
        <w:t>Shipped July 2000</w:t>
      </w:r>
    </w:p>
    <w:p w14:paraId="2109006D" w14:textId="77777777" w:rsidR="003E4039" w:rsidRPr="001422F8" w:rsidRDefault="00E055FE" w:rsidP="00091439">
      <w:pPr>
        <w:ind w:left="720"/>
        <w:jc w:val="both"/>
        <w:rPr>
          <w:rFonts w:ascii="Calibri" w:hAnsi="Calibri"/>
          <w:sz w:val="22"/>
          <w:szCs w:val="22"/>
        </w:rPr>
      </w:pPr>
      <w:r w:rsidRPr="001422F8">
        <w:rPr>
          <w:rFonts w:ascii="Calibri" w:hAnsi="Calibri"/>
          <w:sz w:val="22"/>
          <w:szCs w:val="22"/>
        </w:rPr>
        <w:t>Contractor</w:t>
      </w:r>
      <w:proofErr w:type="gramStart"/>
      <w:r w:rsidRPr="001422F8">
        <w:rPr>
          <w:rFonts w:ascii="Calibri" w:hAnsi="Calibri"/>
          <w:sz w:val="22"/>
          <w:szCs w:val="22"/>
        </w:rPr>
        <w:t xml:space="preserve">:  </w:t>
      </w:r>
      <w:r w:rsidR="003E4039" w:rsidRPr="001422F8">
        <w:rPr>
          <w:rFonts w:ascii="Calibri" w:hAnsi="Calibri"/>
          <w:sz w:val="22"/>
          <w:szCs w:val="22"/>
        </w:rPr>
        <w:t>Bruch</w:t>
      </w:r>
      <w:proofErr w:type="gramEnd"/>
      <w:r w:rsidR="003E4039" w:rsidRPr="001422F8">
        <w:rPr>
          <w:rFonts w:ascii="Calibri" w:hAnsi="Calibri"/>
          <w:sz w:val="22"/>
          <w:szCs w:val="22"/>
        </w:rPr>
        <w:t xml:space="preserve"> &amp; Bruch</w:t>
      </w:r>
    </w:p>
    <w:p w14:paraId="7162155C" w14:textId="77777777" w:rsidR="003E4039" w:rsidRPr="001422F8" w:rsidRDefault="00E055FE" w:rsidP="00091439">
      <w:pPr>
        <w:ind w:left="720"/>
        <w:jc w:val="both"/>
        <w:rPr>
          <w:rFonts w:ascii="Calibri" w:hAnsi="Calibri"/>
          <w:sz w:val="22"/>
          <w:szCs w:val="22"/>
        </w:rPr>
      </w:pPr>
      <w:r w:rsidRPr="001422F8">
        <w:rPr>
          <w:rFonts w:ascii="Calibri" w:hAnsi="Calibri"/>
          <w:sz w:val="22"/>
          <w:szCs w:val="22"/>
        </w:rPr>
        <w:t>Owner</w:t>
      </w:r>
      <w:proofErr w:type="gramStart"/>
      <w:r w:rsidRPr="001422F8">
        <w:rPr>
          <w:rFonts w:ascii="Calibri" w:hAnsi="Calibri"/>
          <w:sz w:val="22"/>
          <w:szCs w:val="22"/>
        </w:rPr>
        <w:t xml:space="preserve">:  </w:t>
      </w:r>
      <w:r w:rsidR="003E4039" w:rsidRPr="001422F8">
        <w:rPr>
          <w:rFonts w:ascii="Calibri" w:hAnsi="Calibri"/>
          <w:sz w:val="22"/>
          <w:szCs w:val="22"/>
        </w:rPr>
        <w:t>Washington</w:t>
      </w:r>
      <w:proofErr w:type="gramEnd"/>
      <w:r w:rsidR="003E4039" w:rsidRPr="001422F8">
        <w:rPr>
          <w:rFonts w:ascii="Calibri" w:hAnsi="Calibri"/>
          <w:sz w:val="22"/>
          <w:szCs w:val="22"/>
        </w:rPr>
        <w:t xml:space="preserve"> State Department of Transportation</w:t>
      </w:r>
    </w:p>
    <w:p w14:paraId="5ADA5A5D" w14:textId="77777777" w:rsidR="003E4039" w:rsidRPr="001422F8" w:rsidRDefault="00E055FE" w:rsidP="00091439">
      <w:pPr>
        <w:ind w:left="720"/>
        <w:jc w:val="both"/>
        <w:rPr>
          <w:rFonts w:ascii="Calibri" w:hAnsi="Calibri"/>
          <w:sz w:val="22"/>
          <w:szCs w:val="22"/>
        </w:rPr>
      </w:pPr>
      <w:r w:rsidRPr="001422F8">
        <w:rPr>
          <w:rFonts w:ascii="Calibri" w:hAnsi="Calibri"/>
          <w:sz w:val="22"/>
          <w:szCs w:val="22"/>
        </w:rPr>
        <w:t xml:space="preserve">Product:  </w:t>
      </w:r>
      <w:r w:rsidR="003E4039" w:rsidRPr="001422F8">
        <w:rPr>
          <w:rFonts w:ascii="Calibri" w:hAnsi="Calibri"/>
          <w:sz w:val="22"/>
          <w:szCs w:val="22"/>
        </w:rPr>
        <w:t>Welded Wire Retaining Wall – 24,320 SF</w:t>
      </w:r>
    </w:p>
    <w:p w14:paraId="05C98A04" w14:textId="77777777" w:rsidR="003E4039" w:rsidRPr="001422F8" w:rsidRDefault="003E4039" w:rsidP="00091439">
      <w:pPr>
        <w:jc w:val="both"/>
        <w:rPr>
          <w:rFonts w:ascii="Calibri" w:hAnsi="Calibri"/>
          <w:sz w:val="22"/>
          <w:szCs w:val="22"/>
        </w:rPr>
      </w:pPr>
      <w:r w:rsidRPr="001422F8">
        <w:rPr>
          <w:rFonts w:ascii="Calibri" w:hAnsi="Calibri"/>
          <w:sz w:val="22"/>
          <w:szCs w:val="22"/>
        </w:rPr>
        <w:t>Within a year of completion, an earthquake occurred with an epicenter near the wall location.  The wall was inspected and there were no visible signs of deflection or movement.</w:t>
      </w:r>
    </w:p>
    <w:p w14:paraId="1FC061F8" w14:textId="77777777" w:rsidR="003E4039" w:rsidRPr="00091439" w:rsidRDefault="003E4039" w:rsidP="00091439">
      <w:pPr>
        <w:jc w:val="both"/>
        <w:rPr>
          <w:rFonts w:ascii="Calibri" w:hAnsi="Calibri"/>
          <w:sz w:val="22"/>
          <w:szCs w:val="22"/>
        </w:rPr>
      </w:pPr>
    </w:p>
    <w:p w14:paraId="327B2882" w14:textId="77777777" w:rsidR="00091439" w:rsidRDefault="00091439" w:rsidP="00091439">
      <w:pPr>
        <w:shd w:val="clear" w:color="auto" w:fill="FFFFFF"/>
        <w:jc w:val="both"/>
        <w:rPr>
          <w:rFonts w:ascii="Calibri" w:hAnsi="Calibri"/>
          <w:sz w:val="22"/>
          <w:szCs w:val="22"/>
        </w:rPr>
      </w:pPr>
      <w:r w:rsidRPr="00091439">
        <w:rPr>
          <w:rFonts w:ascii="Calibri" w:hAnsi="Calibri"/>
          <w:sz w:val="22"/>
          <w:szCs w:val="22"/>
        </w:rPr>
        <w:t xml:space="preserve">The Hilfiker </w:t>
      </w:r>
      <w:r>
        <w:rPr>
          <w:rFonts w:ascii="Calibri" w:hAnsi="Calibri"/>
          <w:sz w:val="22"/>
          <w:szCs w:val="22"/>
        </w:rPr>
        <w:t>WWW</w:t>
      </w:r>
      <w:r w:rsidRPr="00091439">
        <w:rPr>
          <w:rFonts w:ascii="Calibri" w:hAnsi="Calibri"/>
          <w:sz w:val="22"/>
          <w:szCs w:val="22"/>
        </w:rPr>
        <w:t xml:space="preserve"> has a compression allowance</w:t>
      </w:r>
      <w:r>
        <w:rPr>
          <w:rFonts w:ascii="Calibri" w:hAnsi="Calibri"/>
          <w:sz w:val="22"/>
          <w:szCs w:val="22"/>
        </w:rPr>
        <w:t xml:space="preserve"> of 3 inches</w:t>
      </w:r>
      <w:r w:rsidRPr="00091439">
        <w:rPr>
          <w:rFonts w:ascii="Calibri" w:hAnsi="Calibri"/>
          <w:sz w:val="22"/>
          <w:szCs w:val="22"/>
        </w:rPr>
        <w:t xml:space="preserve"> built in</w:t>
      </w:r>
      <w:r>
        <w:rPr>
          <w:rFonts w:ascii="Calibri" w:hAnsi="Calibri"/>
          <w:sz w:val="22"/>
          <w:szCs w:val="22"/>
        </w:rPr>
        <w:t>to</w:t>
      </w:r>
      <w:r w:rsidRPr="00091439">
        <w:rPr>
          <w:rFonts w:ascii="Calibri" w:hAnsi="Calibri"/>
          <w:sz w:val="22"/>
          <w:szCs w:val="22"/>
        </w:rPr>
        <w:t xml:space="preserve"> each </w:t>
      </w:r>
      <w:r>
        <w:rPr>
          <w:rFonts w:ascii="Calibri" w:hAnsi="Calibri"/>
          <w:sz w:val="22"/>
          <w:szCs w:val="22"/>
        </w:rPr>
        <w:t xml:space="preserve">24” </w:t>
      </w:r>
      <w:r w:rsidR="00200AC5">
        <w:rPr>
          <w:rFonts w:ascii="Calibri" w:hAnsi="Calibri"/>
          <w:sz w:val="22"/>
          <w:szCs w:val="22"/>
        </w:rPr>
        <w:t xml:space="preserve">horizontal </w:t>
      </w:r>
      <w:r w:rsidRPr="00091439">
        <w:rPr>
          <w:rFonts w:ascii="Calibri" w:hAnsi="Calibri"/>
          <w:sz w:val="22"/>
          <w:szCs w:val="22"/>
        </w:rPr>
        <w:t xml:space="preserve">lift. </w:t>
      </w:r>
      <w:r>
        <w:rPr>
          <w:rFonts w:ascii="Calibri" w:hAnsi="Calibri"/>
          <w:sz w:val="22"/>
          <w:szCs w:val="22"/>
        </w:rPr>
        <w:t xml:space="preserve"> The backing mat is a</w:t>
      </w:r>
      <w:r w:rsidRPr="00091439">
        <w:rPr>
          <w:rFonts w:ascii="Calibri" w:hAnsi="Calibri"/>
          <w:sz w:val="22"/>
          <w:szCs w:val="22"/>
        </w:rPr>
        <w:t xml:space="preserve">n important structural component to the wall </w:t>
      </w:r>
      <w:proofErr w:type="gramStart"/>
      <w:r w:rsidRPr="00091439">
        <w:rPr>
          <w:rFonts w:ascii="Calibri" w:hAnsi="Calibri"/>
          <w:sz w:val="22"/>
          <w:szCs w:val="22"/>
        </w:rPr>
        <w:t>system, and</w:t>
      </w:r>
      <w:proofErr w:type="gramEnd"/>
      <w:r w:rsidRPr="00091439">
        <w:rPr>
          <w:rFonts w:ascii="Calibri" w:hAnsi="Calibri"/>
          <w:sz w:val="22"/>
          <w:szCs w:val="22"/>
        </w:rPr>
        <w:t xml:space="preserve"> provides stiffness in the face as well as continuity across the standard mat joints</w:t>
      </w:r>
      <w:r>
        <w:rPr>
          <w:rFonts w:ascii="Calibri" w:hAnsi="Calibri"/>
          <w:sz w:val="22"/>
          <w:szCs w:val="22"/>
        </w:rPr>
        <w:t>.  The backing mat is installed with hog rings and placed at the face with a 3” vertically spaced gap (detail below)</w:t>
      </w:r>
      <w:r w:rsidR="00915B8D">
        <w:rPr>
          <w:rFonts w:ascii="Calibri" w:hAnsi="Calibri"/>
          <w:sz w:val="22"/>
          <w:szCs w:val="22"/>
        </w:rPr>
        <w:t xml:space="preserve">.  After installation, if the lift were to settle 3”, then the hog ring would give way allowing the backing mat to drop down to the soil reinforcement but </w:t>
      </w:r>
      <w:proofErr w:type="gramStart"/>
      <w:r w:rsidR="00915B8D">
        <w:rPr>
          <w:rFonts w:ascii="Calibri" w:hAnsi="Calibri"/>
          <w:sz w:val="22"/>
          <w:szCs w:val="22"/>
        </w:rPr>
        <w:t>still keep</w:t>
      </w:r>
      <w:proofErr w:type="gramEnd"/>
      <w:r w:rsidR="00915B8D">
        <w:rPr>
          <w:rFonts w:ascii="Calibri" w:hAnsi="Calibri"/>
          <w:sz w:val="22"/>
          <w:szCs w:val="22"/>
        </w:rPr>
        <w:t xml:space="preserve"> the face stiff enough to not cause deformation.</w:t>
      </w:r>
    </w:p>
    <w:p w14:paraId="39CDCCA8" w14:textId="77777777" w:rsidR="00915B8D" w:rsidRDefault="00915B8D" w:rsidP="00091439">
      <w:pPr>
        <w:shd w:val="clear" w:color="auto" w:fill="FFFFFF"/>
        <w:jc w:val="both"/>
        <w:rPr>
          <w:rFonts w:ascii="Calibri" w:hAnsi="Calibri"/>
          <w:sz w:val="22"/>
          <w:szCs w:val="22"/>
        </w:rPr>
      </w:pPr>
    </w:p>
    <w:p w14:paraId="2731232C" w14:textId="77777777" w:rsidR="00091439" w:rsidRDefault="00915B8D" w:rsidP="00915B8D">
      <w:pPr>
        <w:shd w:val="clear" w:color="auto" w:fill="FFFFFF"/>
        <w:jc w:val="center"/>
      </w:pPr>
      <w:r>
        <w:pict w14:anchorId="5CA2F4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6in;height:148.5pt;visibility:visible" o:bordertopcolor="this" o:borderleftcolor="this" o:borderbottomcolor="this" o:borderrightcolor="this">
            <v:imagedata r:id="rId8" o:title=""/>
            <w10:bordertop type="single" width="4"/>
            <w10:borderleft type="single" width="4"/>
            <w10:borderbottom type="single" width="4"/>
            <w10:borderright type="single" width="4"/>
          </v:shape>
        </w:pict>
      </w:r>
    </w:p>
    <w:p w14:paraId="231F162B" w14:textId="77777777" w:rsidR="005910EE" w:rsidRDefault="005910EE" w:rsidP="00915B8D">
      <w:pPr>
        <w:shd w:val="clear" w:color="auto" w:fill="FFFFFF"/>
        <w:jc w:val="center"/>
        <w:rPr>
          <w:rFonts w:ascii="Calibri" w:hAnsi="Calibri"/>
          <w:sz w:val="22"/>
          <w:szCs w:val="22"/>
        </w:rPr>
      </w:pPr>
    </w:p>
    <w:p w14:paraId="7AA23886" w14:textId="77777777" w:rsidR="00091439" w:rsidRDefault="00091439" w:rsidP="00091439">
      <w:pPr>
        <w:shd w:val="clear" w:color="auto" w:fill="FFFFFF"/>
        <w:jc w:val="center"/>
        <w:rPr>
          <w:rFonts w:ascii="Calibri" w:hAnsi="Calibri"/>
          <w:sz w:val="22"/>
          <w:szCs w:val="22"/>
        </w:rPr>
      </w:pPr>
      <w:r w:rsidRPr="00091439">
        <w:rPr>
          <w:rFonts w:ascii="Calibri" w:hAnsi="Calibri"/>
          <w:sz w:val="22"/>
          <w:szCs w:val="22"/>
        </w:rPr>
        <w:pict w14:anchorId="729405B2">
          <v:shape id="Picture 4" o:spid="_x0000_i1026" type="#_x0000_t75" alt="QD0411003" style="width:6in;height:206.25pt;visibility:visible" o:bordertopcolor="this" o:borderleftcolor="this" o:borderbottomcolor="this" o:borderrightcolor="this">
            <v:imagedata r:id="rId9" o:title="QD0411003"/>
            <w10:bordertop type="single" width="4"/>
            <w10:borderleft type="single" width="4"/>
            <w10:borderbottom type="single" width="4"/>
            <w10:borderright type="single" width="4"/>
          </v:shape>
        </w:pict>
      </w:r>
    </w:p>
    <w:p w14:paraId="2FA00D15" w14:textId="77777777" w:rsidR="00091439" w:rsidRPr="001422F8" w:rsidRDefault="00091439" w:rsidP="00F07679">
      <w:pPr>
        <w:jc w:val="both"/>
        <w:rPr>
          <w:rFonts w:ascii="Calibri" w:hAnsi="Calibri"/>
          <w:sz w:val="22"/>
          <w:szCs w:val="22"/>
        </w:rPr>
      </w:pPr>
    </w:p>
    <w:p w14:paraId="2A22A0A4" w14:textId="77777777" w:rsidR="00091439" w:rsidRPr="001422F8" w:rsidRDefault="00091439" w:rsidP="00F07679">
      <w:pPr>
        <w:jc w:val="both"/>
        <w:rPr>
          <w:rFonts w:ascii="Calibri" w:hAnsi="Calibri"/>
          <w:sz w:val="22"/>
          <w:szCs w:val="22"/>
        </w:rPr>
      </w:pPr>
    </w:p>
    <w:p w14:paraId="0D798E65" w14:textId="77777777" w:rsidR="00E055FE" w:rsidRPr="001422F8" w:rsidRDefault="00E055FE" w:rsidP="00E055FE">
      <w:pPr>
        <w:autoSpaceDE w:val="0"/>
        <w:autoSpaceDN w:val="0"/>
        <w:adjustRightInd w:val="0"/>
        <w:rPr>
          <w:rFonts w:ascii="Calibri" w:hAnsi="Calibri"/>
          <w:b/>
          <w:sz w:val="22"/>
          <w:szCs w:val="22"/>
        </w:rPr>
      </w:pPr>
      <w:r w:rsidRPr="001422F8">
        <w:rPr>
          <w:rFonts w:ascii="Calibri" w:hAnsi="Calibri"/>
          <w:b/>
          <w:sz w:val="22"/>
          <w:szCs w:val="22"/>
        </w:rPr>
        <w:t xml:space="preserve">Maximum Measured Settlement - </w:t>
      </w:r>
      <w:r w:rsidRPr="00E055FE">
        <w:rPr>
          <w:rFonts w:ascii="Calibri" w:hAnsi="Calibri"/>
          <w:b/>
          <w:sz w:val="22"/>
          <w:szCs w:val="22"/>
        </w:rPr>
        <w:t>Bangkok Welded Wire Test Wall</w:t>
      </w:r>
    </w:p>
    <w:p w14:paraId="0B5871DE" w14:textId="77777777" w:rsidR="00E055FE" w:rsidRPr="001422F8" w:rsidRDefault="00E055FE" w:rsidP="00E055FE">
      <w:pPr>
        <w:jc w:val="both"/>
        <w:rPr>
          <w:rFonts w:ascii="Calibri" w:hAnsi="Calibri"/>
          <w:sz w:val="22"/>
          <w:szCs w:val="22"/>
        </w:rPr>
      </w:pPr>
      <w:r w:rsidRPr="001422F8">
        <w:rPr>
          <w:rFonts w:ascii="Calibri" w:hAnsi="Calibri"/>
          <w:sz w:val="22"/>
          <w:szCs w:val="22"/>
        </w:rPr>
        <w:t xml:space="preserve">A full-scale and extensively instrumented experimental MSE wall with steel grid reinforcements was built on soft clay foundation.  Three different locally available poor to marginal quality backfills were used in each of three sections along </w:t>
      </w:r>
      <w:proofErr w:type="gramStart"/>
      <w:r w:rsidRPr="001422F8">
        <w:rPr>
          <w:rFonts w:ascii="Calibri" w:hAnsi="Calibri"/>
          <w:sz w:val="22"/>
          <w:szCs w:val="22"/>
        </w:rPr>
        <w:t>its</w:t>
      </w:r>
      <w:proofErr w:type="gramEnd"/>
      <w:r w:rsidRPr="001422F8">
        <w:rPr>
          <w:rFonts w:ascii="Calibri" w:hAnsi="Calibri"/>
          <w:sz w:val="22"/>
          <w:szCs w:val="22"/>
        </w:rPr>
        <w:t xml:space="preserve"> length.  The soft Bangkok clay in the subsoil is about 6</w:t>
      </w:r>
      <w:r w:rsidRPr="001422F8">
        <w:rPr>
          <w:rFonts w:ascii="Calibri" w:hAnsi="Calibri"/>
          <w:sz w:val="22"/>
          <w:szCs w:val="22"/>
        </w:rPr>
        <w:t> </w:t>
      </w:r>
      <w:r w:rsidRPr="001422F8">
        <w:rPr>
          <w:rFonts w:ascii="Calibri" w:hAnsi="Calibri"/>
          <w:sz w:val="22"/>
          <w:szCs w:val="22"/>
        </w:rPr>
        <w:t>m thick, overlain by a surficial 2</w:t>
      </w:r>
      <w:r w:rsidRPr="001422F8">
        <w:rPr>
          <w:rFonts w:ascii="Calibri" w:hAnsi="Calibri"/>
          <w:sz w:val="22"/>
          <w:szCs w:val="22"/>
        </w:rPr>
        <w:t> </w:t>
      </w:r>
      <w:r w:rsidRPr="001422F8">
        <w:rPr>
          <w:rFonts w:ascii="Calibri" w:hAnsi="Calibri"/>
          <w:sz w:val="22"/>
          <w:szCs w:val="22"/>
        </w:rPr>
        <w:t>m thick weathered clay crust and underlain by a layer of stiff clay.  It was observed that the amount of subsoil movement greatly influenced the variation in the vertical pressure beneath the wall, as well as the tension in the reinforcement.  Pullout resistances in the field were also found to be very much affected by the arching effects due to the presence of inextensible reinforcement in combination with the subsoil movements.  The wall showed no signs of instability both during construction and in the post-construction phases, despite the large settlements and lateral movements. Its overall performance has been satisfactory. It was concluded that the steel grid reinforcement can be effectively used to reinforce poor to marginal quality backfill in walls and embankments on soft clay foundations.</w:t>
      </w:r>
    </w:p>
    <w:p w14:paraId="5B14F576" w14:textId="77777777" w:rsidR="00E055FE" w:rsidRPr="001422F8" w:rsidRDefault="00E055FE" w:rsidP="00E055FE">
      <w:pPr>
        <w:jc w:val="both"/>
        <w:rPr>
          <w:rFonts w:ascii="Calibri" w:hAnsi="Calibri"/>
          <w:sz w:val="22"/>
          <w:szCs w:val="22"/>
        </w:rPr>
      </w:pPr>
    </w:p>
    <w:p w14:paraId="4E19A953" w14:textId="77777777" w:rsidR="00E055FE" w:rsidRPr="001422F8" w:rsidRDefault="00E055FE" w:rsidP="00E055FE">
      <w:pPr>
        <w:autoSpaceDE w:val="0"/>
        <w:autoSpaceDN w:val="0"/>
        <w:adjustRightInd w:val="0"/>
        <w:jc w:val="both"/>
        <w:rPr>
          <w:rFonts w:ascii="Calibri" w:hAnsi="Calibri"/>
          <w:sz w:val="22"/>
          <w:szCs w:val="22"/>
        </w:rPr>
      </w:pPr>
      <w:r w:rsidRPr="001422F8">
        <w:rPr>
          <w:rFonts w:ascii="Calibri" w:hAnsi="Calibri"/>
          <w:sz w:val="22"/>
          <w:szCs w:val="22"/>
        </w:rPr>
        <w:t>The maximum lateral movement in the subsoil occurred at a depth of about 3 m below the general ground level in the soft clay layer, corresponding to the weakest zone in the subsoil.  The magnitudes of the surface settlements were found to be the highest, followed by the subsurface settlements at 3 m depth and, lastly, the subsurface settlements at 6 m depth, at or near the same area beneath the embankment/wall system.</w:t>
      </w:r>
    </w:p>
    <w:p w14:paraId="4981BFDA" w14:textId="77777777" w:rsidR="00E055FE" w:rsidRPr="001422F8" w:rsidRDefault="00E055FE" w:rsidP="00E055FE">
      <w:pPr>
        <w:autoSpaceDE w:val="0"/>
        <w:autoSpaceDN w:val="0"/>
        <w:adjustRightInd w:val="0"/>
        <w:jc w:val="both"/>
        <w:rPr>
          <w:rFonts w:ascii="Calibri" w:hAnsi="Calibri"/>
          <w:sz w:val="22"/>
          <w:szCs w:val="22"/>
        </w:rPr>
      </w:pPr>
    </w:p>
    <w:p w14:paraId="11A9DADA" w14:textId="77777777" w:rsidR="00E055FE" w:rsidRPr="001422F8" w:rsidRDefault="00E055FE" w:rsidP="00E055FE">
      <w:pPr>
        <w:autoSpaceDE w:val="0"/>
        <w:autoSpaceDN w:val="0"/>
        <w:adjustRightInd w:val="0"/>
        <w:jc w:val="both"/>
        <w:rPr>
          <w:rFonts w:ascii="Calibri" w:hAnsi="Calibri"/>
          <w:sz w:val="22"/>
          <w:szCs w:val="22"/>
        </w:rPr>
      </w:pPr>
      <w:r w:rsidRPr="001422F8">
        <w:rPr>
          <w:rFonts w:ascii="Calibri" w:hAnsi="Calibri"/>
          <w:sz w:val="22"/>
          <w:szCs w:val="22"/>
        </w:rPr>
        <w:t xml:space="preserve">Bangkok, </w:t>
      </w:r>
      <w:proofErr w:type="gramStart"/>
      <w:r w:rsidR="00200AC5" w:rsidRPr="001422F8">
        <w:rPr>
          <w:rFonts w:ascii="Calibri" w:hAnsi="Calibri"/>
          <w:sz w:val="22"/>
          <w:szCs w:val="22"/>
        </w:rPr>
        <w:t>Thailand</w:t>
      </w:r>
      <w:r w:rsidRPr="001422F8">
        <w:rPr>
          <w:rFonts w:ascii="Calibri" w:hAnsi="Calibri"/>
          <w:sz w:val="22"/>
          <w:szCs w:val="22"/>
        </w:rPr>
        <w:t>;  Asian</w:t>
      </w:r>
      <w:proofErr w:type="gramEnd"/>
      <w:r w:rsidRPr="001422F8">
        <w:rPr>
          <w:rFonts w:ascii="Calibri" w:hAnsi="Calibri"/>
          <w:sz w:val="22"/>
          <w:szCs w:val="22"/>
        </w:rPr>
        <w:t xml:space="preserve"> Institute of Technology, c/o Dr. D.T. Bergado</w:t>
      </w:r>
    </w:p>
    <w:p w14:paraId="3C3D89B4" w14:textId="77777777" w:rsidR="00E055FE" w:rsidRPr="001422F8" w:rsidRDefault="00E055FE" w:rsidP="00E055FE">
      <w:pPr>
        <w:autoSpaceDE w:val="0"/>
        <w:autoSpaceDN w:val="0"/>
        <w:adjustRightInd w:val="0"/>
        <w:jc w:val="both"/>
        <w:rPr>
          <w:rFonts w:ascii="Calibri" w:hAnsi="Calibri"/>
          <w:sz w:val="22"/>
          <w:szCs w:val="22"/>
        </w:rPr>
      </w:pPr>
      <w:r w:rsidRPr="001422F8">
        <w:rPr>
          <w:rFonts w:ascii="Calibri" w:hAnsi="Calibri"/>
          <w:sz w:val="22"/>
          <w:szCs w:val="22"/>
        </w:rPr>
        <w:t xml:space="preserve">Welded Wire Wall – 2,064 </w:t>
      </w:r>
      <w:proofErr w:type="gramStart"/>
      <w:r w:rsidRPr="001422F8">
        <w:rPr>
          <w:rFonts w:ascii="Calibri" w:hAnsi="Calibri"/>
          <w:sz w:val="22"/>
          <w:szCs w:val="22"/>
        </w:rPr>
        <w:t>SF;  April</w:t>
      </w:r>
      <w:proofErr w:type="gramEnd"/>
      <w:r w:rsidRPr="001422F8">
        <w:rPr>
          <w:rFonts w:ascii="Calibri" w:hAnsi="Calibri"/>
          <w:sz w:val="22"/>
          <w:szCs w:val="22"/>
        </w:rPr>
        <w:t xml:space="preserve"> 1989</w:t>
      </w:r>
    </w:p>
    <w:p w14:paraId="1FD89430" w14:textId="77777777" w:rsidR="00E055FE" w:rsidRPr="00E055FE" w:rsidRDefault="00E055FE" w:rsidP="00E055FE">
      <w:pPr>
        <w:rPr>
          <w:rFonts w:ascii="Calibri" w:hAnsi="Calibri"/>
          <w:sz w:val="22"/>
          <w:szCs w:val="22"/>
        </w:rPr>
      </w:pPr>
      <w:r w:rsidRPr="00E055FE">
        <w:rPr>
          <w:rFonts w:ascii="Calibri" w:hAnsi="Calibri"/>
          <w:sz w:val="22"/>
          <w:szCs w:val="22"/>
        </w:rPr>
        <w:t xml:space="preserve">Link to Dr. D.T. Bergado’s, Asian Institute of Technology, Thesis: </w:t>
      </w:r>
      <w:r w:rsidRPr="001422F8">
        <w:rPr>
          <w:rFonts w:ascii="Calibri" w:hAnsi="Calibri"/>
          <w:color w:val="1F497D"/>
          <w:sz w:val="22"/>
          <w:szCs w:val="22"/>
          <w:u w:val="single"/>
        </w:rPr>
        <w:fldChar w:fldCharType="begin"/>
      </w:r>
      <w:r w:rsidRPr="001422F8">
        <w:rPr>
          <w:rFonts w:ascii="Calibri" w:hAnsi="Calibri"/>
          <w:color w:val="1F497D"/>
          <w:sz w:val="22"/>
          <w:szCs w:val="22"/>
          <w:u w:val="single"/>
        </w:rPr>
        <w:instrText>HYPERLINK "http://pdf.usaid.gov/pdf_docs/PNABJ854.pdf"</w:instrText>
      </w:r>
      <w:r w:rsidRPr="001422F8">
        <w:rPr>
          <w:rFonts w:ascii="Calibri" w:hAnsi="Calibri"/>
          <w:color w:val="1F497D"/>
          <w:sz w:val="22"/>
          <w:szCs w:val="22"/>
          <w:u w:val="single"/>
        </w:rPr>
      </w:r>
      <w:r w:rsidRPr="001422F8">
        <w:rPr>
          <w:rFonts w:ascii="Calibri" w:hAnsi="Calibri"/>
          <w:color w:val="1F497D"/>
          <w:sz w:val="22"/>
          <w:szCs w:val="22"/>
          <w:u w:val="single"/>
        </w:rPr>
        <w:fldChar w:fldCharType="separate"/>
      </w:r>
      <w:r w:rsidRPr="001422F8">
        <w:rPr>
          <w:rFonts w:ascii="Calibri" w:hAnsi="Calibri"/>
          <w:color w:val="1F497D"/>
          <w:sz w:val="22"/>
          <w:szCs w:val="22"/>
          <w:u w:val="single"/>
        </w:rPr>
        <w:t>http://pdf.usaid.gov/pdf_docs/PNABJ854.pdf</w:t>
      </w:r>
      <w:r w:rsidRPr="001422F8">
        <w:rPr>
          <w:rFonts w:ascii="Calibri" w:hAnsi="Calibri"/>
          <w:color w:val="1F497D"/>
          <w:sz w:val="22"/>
          <w:szCs w:val="22"/>
          <w:u w:val="single"/>
        </w:rPr>
        <w:fldChar w:fldCharType="end"/>
      </w:r>
    </w:p>
    <w:p w14:paraId="52B9A817" w14:textId="77777777" w:rsidR="00915B8D" w:rsidRPr="001422F8" w:rsidRDefault="00915B8D" w:rsidP="00915B8D">
      <w:pPr>
        <w:jc w:val="both"/>
        <w:rPr>
          <w:rFonts w:ascii="Calibri" w:hAnsi="Calibri"/>
          <w:sz w:val="22"/>
          <w:szCs w:val="22"/>
        </w:rPr>
      </w:pPr>
    </w:p>
    <w:p w14:paraId="37724C1A" w14:textId="77777777" w:rsidR="00915B8D" w:rsidRPr="001422F8" w:rsidRDefault="00915B8D" w:rsidP="00915B8D">
      <w:pPr>
        <w:jc w:val="both"/>
        <w:rPr>
          <w:rFonts w:ascii="Calibri" w:hAnsi="Calibri"/>
          <w:sz w:val="22"/>
          <w:szCs w:val="22"/>
        </w:rPr>
      </w:pPr>
    </w:p>
    <w:p w14:paraId="36DE61CE" w14:textId="77777777" w:rsidR="00915B8D" w:rsidRPr="001422F8" w:rsidRDefault="00915B8D" w:rsidP="00915B8D">
      <w:pPr>
        <w:jc w:val="both"/>
        <w:rPr>
          <w:rFonts w:ascii="Calibri" w:hAnsi="Calibri"/>
          <w:sz w:val="22"/>
          <w:szCs w:val="22"/>
        </w:rPr>
      </w:pPr>
    </w:p>
    <w:p w14:paraId="0C5AE5F2" w14:textId="77777777" w:rsidR="00915B8D" w:rsidRPr="001422F8" w:rsidRDefault="00936687" w:rsidP="00D509C4">
      <w:pPr>
        <w:pStyle w:val="ListParagraph"/>
        <w:ind w:left="0"/>
        <w:rPr>
          <w:rFonts w:ascii="Calibri" w:hAnsi="Calibri"/>
          <w:b/>
          <w:bCs/>
          <w:sz w:val="22"/>
          <w:szCs w:val="22"/>
        </w:rPr>
      </w:pPr>
      <w:r w:rsidRPr="001422F8">
        <w:rPr>
          <w:rFonts w:ascii="Calibri" w:hAnsi="Calibri"/>
          <w:b/>
          <w:bCs/>
          <w:sz w:val="22"/>
          <w:szCs w:val="22"/>
        </w:rPr>
        <w:t xml:space="preserve">Construction, Backfill, and Expected </w:t>
      </w:r>
      <w:r w:rsidR="00915B8D" w:rsidRPr="001422F8">
        <w:rPr>
          <w:rFonts w:ascii="Calibri" w:hAnsi="Calibri"/>
          <w:b/>
          <w:bCs/>
          <w:sz w:val="22"/>
          <w:szCs w:val="22"/>
        </w:rPr>
        <w:t>Deflection</w:t>
      </w:r>
    </w:p>
    <w:p w14:paraId="16341AAE" w14:textId="77777777" w:rsidR="005910EE" w:rsidRPr="001422F8" w:rsidRDefault="00D509C4" w:rsidP="00D509C4">
      <w:pPr>
        <w:pStyle w:val="ListParagraph"/>
        <w:ind w:left="0"/>
        <w:jc w:val="both"/>
        <w:rPr>
          <w:rFonts w:ascii="Calibri" w:hAnsi="Calibri"/>
          <w:sz w:val="22"/>
          <w:szCs w:val="22"/>
        </w:rPr>
      </w:pPr>
      <w:r w:rsidRPr="001422F8">
        <w:rPr>
          <w:rFonts w:ascii="Calibri" w:hAnsi="Calibri"/>
          <w:sz w:val="22"/>
          <w:szCs w:val="22"/>
        </w:rPr>
        <w:t xml:space="preserve">Hilfiker’s strong WWW system is just one factor that contributes to a successful MSE installation project.  Contractor performance, proper construction, and </w:t>
      </w:r>
      <w:r w:rsidR="00200AC5">
        <w:rPr>
          <w:rFonts w:ascii="Calibri" w:hAnsi="Calibri"/>
          <w:sz w:val="22"/>
          <w:szCs w:val="22"/>
        </w:rPr>
        <w:t>use of specified</w:t>
      </w:r>
      <w:r w:rsidRPr="001422F8">
        <w:rPr>
          <w:rFonts w:ascii="Calibri" w:hAnsi="Calibri"/>
          <w:sz w:val="22"/>
          <w:szCs w:val="22"/>
        </w:rPr>
        <w:t xml:space="preserve"> backfill are all important contributing factors as well.  Maximum deflection</w:t>
      </w:r>
      <w:r w:rsidR="00915B8D" w:rsidRPr="001422F8">
        <w:rPr>
          <w:rFonts w:ascii="Calibri" w:hAnsi="Calibri"/>
          <w:sz w:val="22"/>
          <w:szCs w:val="22"/>
        </w:rPr>
        <w:t xml:space="preserve"> isn’t so much related to the MSE wall </w:t>
      </w:r>
      <w:proofErr w:type="gramStart"/>
      <w:r w:rsidR="00915B8D" w:rsidRPr="001422F8">
        <w:rPr>
          <w:rFonts w:ascii="Calibri" w:hAnsi="Calibri"/>
          <w:sz w:val="22"/>
          <w:szCs w:val="22"/>
        </w:rPr>
        <w:t>type, but</w:t>
      </w:r>
      <w:proofErr w:type="gramEnd"/>
      <w:r w:rsidR="00915B8D" w:rsidRPr="001422F8">
        <w:rPr>
          <w:rFonts w:ascii="Calibri" w:hAnsi="Calibri"/>
          <w:sz w:val="22"/>
          <w:szCs w:val="22"/>
        </w:rPr>
        <w:t xml:space="preserve"> is more contingent upon a proper design specific to the site conditions and soil properties, a good strong foundation, </w:t>
      </w:r>
      <w:r w:rsidR="00200AC5">
        <w:rPr>
          <w:rFonts w:ascii="Calibri" w:hAnsi="Calibri"/>
          <w:sz w:val="22"/>
          <w:szCs w:val="22"/>
        </w:rPr>
        <w:t>proper</w:t>
      </w:r>
      <w:r w:rsidR="00915B8D" w:rsidRPr="001422F8">
        <w:rPr>
          <w:rFonts w:ascii="Calibri" w:hAnsi="Calibri"/>
          <w:sz w:val="22"/>
          <w:szCs w:val="22"/>
        </w:rPr>
        <w:t xml:space="preserve"> backfill compaction </w:t>
      </w:r>
      <w:r w:rsidR="00915B8D" w:rsidRPr="001422F8">
        <w:rPr>
          <w:rFonts w:ascii="Calibri" w:hAnsi="Calibri"/>
          <w:sz w:val="22"/>
          <w:szCs w:val="22"/>
        </w:rPr>
        <w:lastRenderedPageBreak/>
        <w:t>and quality construction for the installation.  If all those items are achieved and meet the provided specifications, then lat</w:t>
      </w:r>
      <w:r w:rsidR="005910EE" w:rsidRPr="001422F8">
        <w:rPr>
          <w:rFonts w:ascii="Calibri" w:hAnsi="Calibri"/>
          <w:sz w:val="22"/>
          <w:szCs w:val="22"/>
        </w:rPr>
        <w:t>eral movement is not expected.</w:t>
      </w:r>
    </w:p>
    <w:p w14:paraId="67F04DAA" w14:textId="77777777" w:rsidR="005910EE" w:rsidRPr="001422F8" w:rsidRDefault="005910EE" w:rsidP="00D509C4">
      <w:pPr>
        <w:pStyle w:val="ListParagraph"/>
        <w:ind w:left="0"/>
        <w:jc w:val="both"/>
        <w:rPr>
          <w:rFonts w:ascii="Calibri" w:hAnsi="Calibri"/>
          <w:sz w:val="22"/>
          <w:szCs w:val="22"/>
        </w:rPr>
      </w:pPr>
    </w:p>
    <w:p w14:paraId="08E06567" w14:textId="77777777" w:rsidR="00915B8D" w:rsidRPr="001422F8" w:rsidRDefault="00915B8D" w:rsidP="00D509C4">
      <w:pPr>
        <w:pStyle w:val="ListParagraph"/>
        <w:ind w:left="0"/>
        <w:jc w:val="both"/>
        <w:rPr>
          <w:rFonts w:ascii="Calibri" w:hAnsi="Calibri"/>
          <w:sz w:val="22"/>
          <w:szCs w:val="22"/>
        </w:rPr>
      </w:pPr>
      <w:r w:rsidRPr="001422F8">
        <w:rPr>
          <w:rFonts w:ascii="Calibri" w:hAnsi="Calibri"/>
          <w:sz w:val="22"/>
          <w:szCs w:val="22"/>
        </w:rPr>
        <w:t xml:space="preserve">As a materials supplier, </w:t>
      </w:r>
      <w:r w:rsidR="00D509C4" w:rsidRPr="001422F8">
        <w:rPr>
          <w:rFonts w:ascii="Calibri" w:hAnsi="Calibri"/>
          <w:sz w:val="22"/>
          <w:szCs w:val="22"/>
        </w:rPr>
        <w:t>Hilfiker canno</w:t>
      </w:r>
      <w:r w:rsidRPr="001422F8">
        <w:rPr>
          <w:rFonts w:ascii="Calibri" w:hAnsi="Calibri"/>
          <w:sz w:val="22"/>
          <w:szCs w:val="22"/>
        </w:rPr>
        <w:t xml:space="preserve">t quantify the chosen contractors’ installation work.  </w:t>
      </w:r>
      <w:r w:rsidR="00D509C4" w:rsidRPr="001422F8">
        <w:rPr>
          <w:rFonts w:ascii="Calibri" w:hAnsi="Calibri"/>
          <w:sz w:val="22"/>
          <w:szCs w:val="22"/>
        </w:rPr>
        <w:t xml:space="preserve"> Extremely</w:t>
      </w:r>
      <w:r w:rsidRPr="001422F8">
        <w:rPr>
          <w:rFonts w:ascii="Calibri" w:hAnsi="Calibri"/>
          <w:sz w:val="22"/>
          <w:szCs w:val="22"/>
        </w:rPr>
        <w:t xml:space="preserve"> tall mining structures</w:t>
      </w:r>
      <w:r w:rsidR="00D509C4" w:rsidRPr="001422F8">
        <w:rPr>
          <w:rFonts w:ascii="Calibri" w:hAnsi="Calibri"/>
          <w:sz w:val="22"/>
          <w:szCs w:val="22"/>
        </w:rPr>
        <w:t xml:space="preserve"> with </w:t>
      </w:r>
      <w:r w:rsidR="00200AC5">
        <w:rPr>
          <w:rFonts w:ascii="Calibri" w:hAnsi="Calibri"/>
          <w:sz w:val="22"/>
          <w:szCs w:val="22"/>
        </w:rPr>
        <w:t>extreme surcharges</w:t>
      </w:r>
      <w:r w:rsidR="00D509C4" w:rsidRPr="001422F8">
        <w:rPr>
          <w:rFonts w:ascii="Calibri" w:hAnsi="Calibri"/>
          <w:sz w:val="22"/>
          <w:szCs w:val="22"/>
        </w:rPr>
        <w:t xml:space="preserve"> have been</w:t>
      </w:r>
      <w:r w:rsidRPr="001422F8">
        <w:rPr>
          <w:rFonts w:ascii="Calibri" w:hAnsi="Calibri"/>
          <w:sz w:val="22"/>
          <w:szCs w:val="22"/>
        </w:rPr>
        <w:t xml:space="preserve"> installed very well with high quality backfill and haven’t moved since, yet on the other side poorly constructed walls </w:t>
      </w:r>
      <w:r w:rsidR="00D509C4" w:rsidRPr="001422F8">
        <w:rPr>
          <w:rFonts w:ascii="Calibri" w:hAnsi="Calibri"/>
          <w:sz w:val="22"/>
          <w:szCs w:val="22"/>
        </w:rPr>
        <w:t>have</w:t>
      </w:r>
      <w:r w:rsidRPr="001422F8">
        <w:rPr>
          <w:rFonts w:ascii="Calibri" w:hAnsi="Calibri"/>
          <w:sz w:val="22"/>
          <w:szCs w:val="22"/>
        </w:rPr>
        <w:t xml:space="preserve"> resulted in just as poor post-installation performance.  It is the same Welded Wire Wall material supplied, but different backfill and/or installation and therefore a different result.  Construction quality control is imperative.</w:t>
      </w:r>
    </w:p>
    <w:p w14:paraId="239ED073" w14:textId="77777777" w:rsidR="00915B8D" w:rsidRDefault="00915B8D" w:rsidP="00915B8D">
      <w:pPr>
        <w:jc w:val="both"/>
        <w:rPr>
          <w:rFonts w:ascii="Calibri" w:hAnsi="Calibri"/>
          <w:sz w:val="22"/>
          <w:szCs w:val="22"/>
        </w:rPr>
      </w:pPr>
    </w:p>
    <w:p w14:paraId="1EAF8FD1" w14:textId="77777777" w:rsidR="00DF415B" w:rsidRPr="001422F8" w:rsidRDefault="00DF415B" w:rsidP="00DF415B">
      <w:pPr>
        <w:pStyle w:val="Default"/>
        <w:jc w:val="both"/>
        <w:rPr>
          <w:rFonts w:ascii="Calibri" w:hAnsi="Calibri"/>
          <w:sz w:val="22"/>
          <w:szCs w:val="22"/>
        </w:rPr>
      </w:pPr>
      <w:r w:rsidRPr="00E8703C">
        <w:rPr>
          <w:rFonts w:ascii="Calibri" w:hAnsi="Calibri"/>
          <w:sz w:val="22"/>
          <w:szCs w:val="22"/>
        </w:rPr>
        <w:t>More technical information on the topic can be found in the Federal Highway Administration’s Publication No. FHWA-NHI-10-024</w:t>
      </w:r>
      <w:r w:rsidR="00200AC5" w:rsidRPr="00E8703C">
        <w:rPr>
          <w:rFonts w:ascii="Calibri" w:hAnsi="Calibri"/>
          <w:sz w:val="22"/>
          <w:szCs w:val="22"/>
        </w:rPr>
        <w:t xml:space="preserve"> (</w:t>
      </w:r>
      <w:hyperlink r:id="rId10" w:history="1">
        <w:r w:rsidR="00200AC5" w:rsidRPr="00E8703C">
          <w:rPr>
            <w:rStyle w:val="Hyperlink"/>
            <w:rFonts w:ascii="Calibri" w:hAnsi="Calibri"/>
            <w:color w:val="1F497D"/>
            <w:sz w:val="22"/>
            <w:szCs w:val="22"/>
          </w:rPr>
          <w:t>https://www.fhwa.dot.gov/engineering/geotech/pubs/nhi10024/nhi10024.pdf</w:t>
        </w:r>
      </w:hyperlink>
      <w:r w:rsidR="00200AC5" w:rsidRPr="00E8703C">
        <w:rPr>
          <w:rFonts w:ascii="Calibri" w:hAnsi="Calibri"/>
          <w:sz w:val="22"/>
          <w:szCs w:val="22"/>
        </w:rPr>
        <w:t>)</w:t>
      </w:r>
      <w:r w:rsidRPr="00E8703C">
        <w:rPr>
          <w:rFonts w:ascii="Calibri" w:hAnsi="Calibri"/>
          <w:sz w:val="22"/>
          <w:szCs w:val="22"/>
        </w:rPr>
        <w:t xml:space="preserve">, which is a </w:t>
      </w:r>
      <w:proofErr w:type="gramStart"/>
      <w:r w:rsidRPr="00E8703C">
        <w:rPr>
          <w:rFonts w:ascii="Calibri" w:hAnsi="Calibri"/>
          <w:sz w:val="22"/>
          <w:szCs w:val="22"/>
        </w:rPr>
        <w:t>widely-used</w:t>
      </w:r>
      <w:proofErr w:type="gramEnd"/>
      <w:r w:rsidRPr="00E8703C">
        <w:rPr>
          <w:rFonts w:ascii="Calibri" w:hAnsi="Calibri"/>
          <w:sz w:val="22"/>
          <w:szCs w:val="22"/>
        </w:rPr>
        <w:t xml:space="preserve"> design</w:t>
      </w:r>
      <w:r w:rsidRPr="00E8703C">
        <w:rPr>
          <w:rFonts w:ascii="Calibri" w:hAnsi="Calibri"/>
          <w:color w:val="auto"/>
          <w:sz w:val="22"/>
          <w:szCs w:val="22"/>
        </w:rPr>
        <w:t xml:space="preserve"> document detailing these </w:t>
      </w:r>
      <w:proofErr w:type="gramStart"/>
      <w:r w:rsidRPr="00E8703C">
        <w:rPr>
          <w:rFonts w:ascii="Calibri" w:hAnsi="Calibri"/>
          <w:color w:val="auto"/>
          <w:sz w:val="22"/>
          <w:szCs w:val="22"/>
        </w:rPr>
        <w:t>types of performance criteria at length.</w:t>
      </w:r>
      <w:proofErr w:type="gramEnd"/>
      <w:r w:rsidRPr="00E8703C">
        <w:rPr>
          <w:rFonts w:ascii="Calibri" w:hAnsi="Calibri"/>
          <w:color w:val="auto"/>
          <w:sz w:val="22"/>
          <w:szCs w:val="22"/>
        </w:rPr>
        <w:t xml:space="preserve">  Intuitively, an inextensible, steel system would have more stiffness</w:t>
      </w:r>
      <w:r w:rsidRPr="00DF415B">
        <w:rPr>
          <w:rFonts w:ascii="Calibri" w:hAnsi="Calibri"/>
          <w:color w:val="auto"/>
          <w:sz w:val="22"/>
          <w:szCs w:val="22"/>
        </w:rPr>
        <w:t xml:space="preserve"> and therefore less prone to deflection</w:t>
      </w:r>
      <w:r>
        <w:rPr>
          <w:rFonts w:ascii="Calibri" w:hAnsi="Calibri"/>
          <w:color w:val="auto"/>
          <w:sz w:val="22"/>
          <w:szCs w:val="22"/>
        </w:rPr>
        <w:t>, over an extensible geogrid or geotextile reinforced system.</w:t>
      </w:r>
    </w:p>
    <w:p w14:paraId="502CF5B4" w14:textId="77777777" w:rsidR="00DF415B" w:rsidRDefault="00DF415B" w:rsidP="00915B8D">
      <w:pPr>
        <w:jc w:val="both"/>
        <w:rPr>
          <w:rFonts w:ascii="Calibri" w:hAnsi="Calibri"/>
          <w:sz w:val="22"/>
          <w:szCs w:val="22"/>
        </w:rPr>
      </w:pPr>
    </w:p>
    <w:p w14:paraId="67DADDBE" w14:textId="77777777" w:rsidR="00DF415B" w:rsidRPr="001422F8" w:rsidRDefault="00DF415B" w:rsidP="00915B8D">
      <w:pPr>
        <w:jc w:val="both"/>
        <w:rPr>
          <w:rFonts w:ascii="Calibri" w:hAnsi="Calibri"/>
          <w:sz w:val="22"/>
          <w:szCs w:val="22"/>
        </w:rPr>
      </w:pPr>
    </w:p>
    <w:p w14:paraId="5279BCAE" w14:textId="77777777" w:rsidR="005910EE" w:rsidRPr="001422F8" w:rsidRDefault="005910EE" w:rsidP="00915B8D">
      <w:pPr>
        <w:jc w:val="both"/>
        <w:rPr>
          <w:rFonts w:ascii="Calibri" w:hAnsi="Calibri"/>
          <w:b/>
          <w:sz w:val="22"/>
          <w:szCs w:val="22"/>
        </w:rPr>
      </w:pPr>
      <w:r w:rsidRPr="001422F8">
        <w:rPr>
          <w:rFonts w:ascii="Calibri" w:hAnsi="Calibri"/>
          <w:b/>
          <w:sz w:val="22"/>
          <w:szCs w:val="22"/>
        </w:rPr>
        <w:t>Strongest Option</w:t>
      </w:r>
    </w:p>
    <w:p w14:paraId="23484650" w14:textId="77777777" w:rsidR="003E4039" w:rsidRPr="001422F8" w:rsidRDefault="005910EE" w:rsidP="00915B8D">
      <w:pPr>
        <w:jc w:val="both"/>
        <w:rPr>
          <w:rFonts w:ascii="Calibri" w:hAnsi="Calibri"/>
          <w:sz w:val="22"/>
          <w:szCs w:val="22"/>
        </w:rPr>
      </w:pPr>
      <w:r w:rsidRPr="001422F8">
        <w:rPr>
          <w:rFonts w:ascii="Calibri" w:hAnsi="Calibri"/>
          <w:sz w:val="22"/>
          <w:szCs w:val="22"/>
        </w:rPr>
        <w:t>Hilfiker’s WW</w:t>
      </w:r>
      <w:r w:rsidR="00DF415B">
        <w:rPr>
          <w:rFonts w:ascii="Calibri" w:hAnsi="Calibri"/>
          <w:sz w:val="22"/>
          <w:szCs w:val="22"/>
        </w:rPr>
        <w:t>W</w:t>
      </w:r>
      <w:r w:rsidRPr="001422F8">
        <w:rPr>
          <w:rFonts w:ascii="Calibri" w:hAnsi="Calibri"/>
          <w:sz w:val="22"/>
          <w:szCs w:val="22"/>
        </w:rPr>
        <w:t xml:space="preserve"> </w:t>
      </w:r>
      <w:r w:rsidR="003E4039" w:rsidRPr="001422F8">
        <w:rPr>
          <w:rFonts w:ascii="Calibri" w:hAnsi="Calibri"/>
          <w:sz w:val="22"/>
          <w:szCs w:val="22"/>
        </w:rPr>
        <w:t xml:space="preserve">system is very well suited for </w:t>
      </w:r>
      <w:r w:rsidRPr="001422F8">
        <w:rPr>
          <w:rFonts w:ascii="Calibri" w:hAnsi="Calibri"/>
          <w:sz w:val="22"/>
          <w:szCs w:val="22"/>
        </w:rPr>
        <w:t xml:space="preserve">applications with significant </w:t>
      </w:r>
      <w:r w:rsidR="00200AC5">
        <w:rPr>
          <w:rFonts w:ascii="Calibri" w:hAnsi="Calibri"/>
          <w:sz w:val="22"/>
          <w:szCs w:val="22"/>
        </w:rPr>
        <w:t>surcharge</w:t>
      </w:r>
      <w:r w:rsidRPr="001422F8">
        <w:rPr>
          <w:rFonts w:ascii="Calibri" w:hAnsi="Calibri"/>
          <w:sz w:val="22"/>
          <w:szCs w:val="22"/>
        </w:rPr>
        <w:t>, and/or when settlement is expected</w:t>
      </w:r>
      <w:r w:rsidR="003E4039" w:rsidRPr="001422F8">
        <w:rPr>
          <w:rFonts w:ascii="Calibri" w:hAnsi="Calibri"/>
          <w:sz w:val="22"/>
          <w:szCs w:val="22"/>
        </w:rPr>
        <w:t xml:space="preserve">.  The soil reinforcement and facing are fabricated out of a single unit (non-extensible welded wire mesh).  This greatly simplifies the alignment and batter control in the erection of the </w:t>
      </w:r>
      <w:proofErr w:type="gramStart"/>
      <w:r w:rsidR="003E4039" w:rsidRPr="001422F8">
        <w:rPr>
          <w:rFonts w:ascii="Calibri" w:hAnsi="Calibri"/>
          <w:sz w:val="22"/>
          <w:szCs w:val="22"/>
        </w:rPr>
        <w:t>system, and</w:t>
      </w:r>
      <w:proofErr w:type="gramEnd"/>
      <w:r w:rsidR="003E4039" w:rsidRPr="001422F8">
        <w:rPr>
          <w:rFonts w:ascii="Calibri" w:hAnsi="Calibri"/>
          <w:sz w:val="22"/>
          <w:szCs w:val="22"/>
        </w:rPr>
        <w:t xml:space="preserve"> allows for optimum speed in the backfill placement and compaction operation.  With this system being “non-extensible,” it is the stiffest M.S.E. structure you can get.  W</w:t>
      </w:r>
      <w:r w:rsidR="0017295E" w:rsidRPr="001422F8">
        <w:rPr>
          <w:rFonts w:ascii="Calibri" w:hAnsi="Calibri"/>
          <w:sz w:val="22"/>
          <w:szCs w:val="22"/>
        </w:rPr>
        <w:t xml:space="preserve">hen </w:t>
      </w:r>
      <w:r w:rsidR="003E4039" w:rsidRPr="001422F8">
        <w:rPr>
          <w:rFonts w:ascii="Calibri" w:hAnsi="Calibri"/>
          <w:sz w:val="22"/>
          <w:szCs w:val="22"/>
        </w:rPr>
        <w:t xml:space="preserve">our wall </w:t>
      </w:r>
      <w:r w:rsidR="0017295E" w:rsidRPr="001422F8">
        <w:rPr>
          <w:rFonts w:ascii="Calibri" w:hAnsi="Calibri"/>
          <w:sz w:val="22"/>
          <w:szCs w:val="22"/>
        </w:rPr>
        <w:t>is combined with the appropriate</w:t>
      </w:r>
      <w:r w:rsidR="003E4039" w:rsidRPr="001422F8">
        <w:rPr>
          <w:rFonts w:ascii="Calibri" w:hAnsi="Calibri"/>
          <w:sz w:val="22"/>
          <w:szCs w:val="22"/>
        </w:rPr>
        <w:t xml:space="preserve"> backfill</w:t>
      </w:r>
      <w:r w:rsidR="0017295E" w:rsidRPr="001422F8">
        <w:rPr>
          <w:rFonts w:ascii="Calibri" w:hAnsi="Calibri"/>
          <w:sz w:val="22"/>
          <w:szCs w:val="22"/>
        </w:rPr>
        <w:t xml:space="preserve"> and quality construction</w:t>
      </w:r>
      <w:r w:rsidR="003E4039" w:rsidRPr="001422F8">
        <w:rPr>
          <w:rFonts w:ascii="Calibri" w:hAnsi="Calibri"/>
          <w:sz w:val="22"/>
          <w:szCs w:val="22"/>
        </w:rPr>
        <w:t>, you will have an extremely rigid and durable structure.</w:t>
      </w:r>
    </w:p>
    <w:p w14:paraId="26BE4281" w14:textId="77777777" w:rsidR="003E4039" w:rsidRPr="001422F8" w:rsidRDefault="003E4039" w:rsidP="00F07679">
      <w:pPr>
        <w:jc w:val="both"/>
        <w:rPr>
          <w:rFonts w:ascii="Calibri" w:hAnsi="Calibri"/>
          <w:sz w:val="22"/>
          <w:szCs w:val="22"/>
        </w:rPr>
      </w:pPr>
    </w:p>
    <w:p w14:paraId="6C0A27BA" w14:textId="77777777" w:rsidR="003E4039" w:rsidRPr="001422F8" w:rsidRDefault="00200AC5" w:rsidP="00DF415B">
      <w:pPr>
        <w:jc w:val="center"/>
        <w:rPr>
          <w:rFonts w:ascii="Calibri" w:hAnsi="Calibri"/>
          <w:sz w:val="22"/>
          <w:szCs w:val="22"/>
        </w:rPr>
      </w:pPr>
      <w:r w:rsidRPr="001F642A">
        <w:rPr>
          <w:bdr w:val="single" w:sz="6" w:space="0" w:color="000000"/>
        </w:rPr>
        <w:pict w14:anchorId="33AB745A">
          <v:shape id="_x0000_i1027" type="#_x0000_t75" style="width:421.5pt;height:252pt" o:bordertopcolor="yellow pure" o:borderleftcolor="yellow pure" o:borderbottomcolor="yellow pure" o:borderrightcolor="yellow pure">
            <v:imagedata r:id="rId11" o:title="DSC_0774" croptop="6623f"/>
            <w10:bordertop type="single" width="6"/>
            <w10:borderleft type="single" width="6"/>
            <w10:borderbottom type="single" width="6"/>
            <w10:borderright type="single" width="6"/>
          </v:shape>
        </w:pict>
      </w:r>
    </w:p>
    <w:sectPr w:rsidR="003E4039" w:rsidRPr="001422F8" w:rsidSect="00521953">
      <w:headerReference w:type="default" r:id="rId12"/>
      <w:footerReference w:type="default" r:id="rId13"/>
      <w:headerReference w:type="first" r:id="rId14"/>
      <w:footerReference w:type="first" r:id="rId15"/>
      <w:pgSz w:w="12240" w:h="15840" w:code="1"/>
      <w:pgMar w:top="1080" w:right="1080" w:bottom="1080" w:left="1080" w:header="720" w:footer="100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15BCD" w14:textId="77777777" w:rsidR="00A93875" w:rsidRDefault="00A93875">
      <w:r>
        <w:separator/>
      </w:r>
    </w:p>
  </w:endnote>
  <w:endnote w:type="continuationSeparator" w:id="0">
    <w:p w14:paraId="48D4EB3C" w14:textId="77777777" w:rsidR="00A93875" w:rsidRDefault="00A93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99387" w14:textId="77777777" w:rsidR="005B3AEF" w:rsidRPr="00D23B7A" w:rsidRDefault="005B3AEF" w:rsidP="00973A03">
    <w:pPr>
      <w:pStyle w:val="Footer"/>
      <w:tabs>
        <w:tab w:val="clear" w:pos="8640"/>
        <w:tab w:val="right" w:pos="9810"/>
      </w:tabs>
      <w:ind w:left="-1260" w:right="-117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E3940" w14:textId="77777777" w:rsidR="00F10366" w:rsidRPr="001422F8" w:rsidRDefault="00521953" w:rsidP="00521953">
    <w:pPr>
      <w:pStyle w:val="Footer"/>
      <w:ind w:left="-540"/>
      <w:rPr>
        <w:rFonts w:ascii="Calibri" w:hAnsi="Calibri"/>
        <w:sz w:val="18"/>
        <w:szCs w:val="18"/>
      </w:rPr>
    </w:pPr>
    <w:r w:rsidRPr="001422F8">
      <w:rPr>
        <w:rFonts w:ascii="Calibri" w:hAnsi="Calibri"/>
        <w:noProof/>
        <w:sz w:val="18"/>
        <w:szCs w:val="18"/>
      </w:rPr>
      <w:pict w14:anchorId="39E67D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32.45pt;margin-top:-12.7pt;width:568.9pt;height:127.75pt;z-index:-251658240;mso-position-horizontal-relative:margin">
          <v:imagedata r:id="rId1" o:title="hrw_letterhead_bottom22"/>
          <w10:wrap anchorx="margin"/>
        </v:shape>
      </w:pict>
    </w:r>
    <w:r w:rsidRPr="001422F8">
      <w:rPr>
        <w:rFonts w:ascii="Calibri" w:hAnsi="Calibri"/>
        <w:sz w:val="18"/>
        <w:szCs w:val="18"/>
      </w:rPr>
      <w:t xml:space="preserve">Page </w:t>
    </w:r>
    <w:r w:rsidRPr="001422F8">
      <w:rPr>
        <w:rFonts w:ascii="Calibri" w:hAnsi="Calibri"/>
        <w:sz w:val="18"/>
        <w:szCs w:val="18"/>
      </w:rPr>
      <w:fldChar w:fldCharType="begin"/>
    </w:r>
    <w:r w:rsidRPr="001422F8">
      <w:rPr>
        <w:rFonts w:ascii="Calibri" w:hAnsi="Calibri"/>
        <w:sz w:val="18"/>
        <w:szCs w:val="18"/>
      </w:rPr>
      <w:instrText xml:space="preserve"> PAGE </w:instrText>
    </w:r>
    <w:r w:rsidRPr="001422F8">
      <w:rPr>
        <w:rFonts w:ascii="Calibri" w:hAnsi="Calibri"/>
        <w:sz w:val="18"/>
        <w:szCs w:val="18"/>
      </w:rPr>
      <w:fldChar w:fldCharType="separate"/>
    </w:r>
    <w:r w:rsidR="006114A7">
      <w:rPr>
        <w:rFonts w:ascii="Calibri" w:hAnsi="Calibri"/>
        <w:noProof/>
        <w:sz w:val="18"/>
        <w:szCs w:val="18"/>
      </w:rPr>
      <w:t>1</w:t>
    </w:r>
    <w:r w:rsidRPr="001422F8">
      <w:rPr>
        <w:rFonts w:ascii="Calibri" w:hAnsi="Calibri"/>
        <w:sz w:val="18"/>
        <w:szCs w:val="18"/>
      </w:rPr>
      <w:fldChar w:fldCharType="end"/>
    </w:r>
    <w:r w:rsidRPr="001422F8">
      <w:rPr>
        <w:rFonts w:ascii="Calibri" w:hAnsi="Calibri"/>
        <w:sz w:val="18"/>
        <w:szCs w:val="18"/>
      </w:rPr>
      <w:t xml:space="preserve"> of </w:t>
    </w:r>
    <w:r w:rsidRPr="001422F8">
      <w:rPr>
        <w:rFonts w:ascii="Calibri" w:hAnsi="Calibri"/>
        <w:sz w:val="18"/>
        <w:szCs w:val="18"/>
      </w:rPr>
      <w:fldChar w:fldCharType="begin"/>
    </w:r>
    <w:r w:rsidRPr="001422F8">
      <w:rPr>
        <w:rFonts w:ascii="Calibri" w:hAnsi="Calibri"/>
        <w:sz w:val="18"/>
        <w:szCs w:val="18"/>
      </w:rPr>
      <w:instrText xml:space="preserve"> NUMPAGES </w:instrText>
    </w:r>
    <w:r w:rsidRPr="001422F8">
      <w:rPr>
        <w:rFonts w:ascii="Calibri" w:hAnsi="Calibri"/>
        <w:sz w:val="18"/>
        <w:szCs w:val="18"/>
      </w:rPr>
      <w:fldChar w:fldCharType="separate"/>
    </w:r>
    <w:r w:rsidR="006114A7">
      <w:rPr>
        <w:rFonts w:ascii="Calibri" w:hAnsi="Calibri"/>
        <w:noProof/>
        <w:sz w:val="18"/>
        <w:szCs w:val="18"/>
      </w:rPr>
      <w:t>3</w:t>
    </w:r>
    <w:r w:rsidRPr="001422F8">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7C074" w14:textId="77777777" w:rsidR="00A93875" w:rsidRDefault="00A93875">
      <w:r>
        <w:separator/>
      </w:r>
    </w:p>
  </w:footnote>
  <w:footnote w:type="continuationSeparator" w:id="0">
    <w:p w14:paraId="28D89ED6" w14:textId="77777777" w:rsidR="00A93875" w:rsidRDefault="00A93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B547B" w14:textId="77777777" w:rsidR="0017295E" w:rsidRPr="001422F8" w:rsidRDefault="0017295E" w:rsidP="00521953">
    <w:pPr>
      <w:pStyle w:val="Header"/>
      <w:ind w:left="-540"/>
      <w:rPr>
        <w:rFonts w:ascii="Calibri" w:hAnsi="Calibri"/>
        <w:sz w:val="18"/>
        <w:szCs w:val="18"/>
      </w:rPr>
    </w:pPr>
    <w:r w:rsidRPr="001422F8">
      <w:rPr>
        <w:rFonts w:ascii="Calibri" w:hAnsi="Calibri"/>
        <w:sz w:val="18"/>
        <w:szCs w:val="18"/>
      </w:rPr>
      <w:t>WWW Differential Settlement &amp; Compressible Facing</w:t>
    </w:r>
  </w:p>
  <w:p w14:paraId="2894CA0D" w14:textId="77777777" w:rsidR="0017295E" w:rsidRPr="001422F8" w:rsidRDefault="0017295E" w:rsidP="00521953">
    <w:pPr>
      <w:pStyle w:val="Header"/>
      <w:ind w:left="-540"/>
      <w:rPr>
        <w:rFonts w:ascii="Calibri" w:hAnsi="Calibri"/>
        <w:sz w:val="18"/>
        <w:szCs w:val="18"/>
      </w:rPr>
    </w:pPr>
    <w:r w:rsidRPr="001422F8">
      <w:rPr>
        <w:rFonts w:ascii="Calibri" w:hAnsi="Calibri"/>
        <w:sz w:val="18"/>
        <w:szCs w:val="18"/>
      </w:rPr>
      <w:t>November 2019</w:t>
    </w:r>
  </w:p>
  <w:p w14:paraId="6F18269E" w14:textId="77777777" w:rsidR="00521953" w:rsidRPr="001422F8" w:rsidRDefault="00521953" w:rsidP="00521953">
    <w:pPr>
      <w:pStyle w:val="Header"/>
      <w:ind w:left="-540"/>
      <w:rPr>
        <w:rFonts w:ascii="Calibri" w:hAnsi="Calibri"/>
        <w:sz w:val="18"/>
        <w:szCs w:val="18"/>
      </w:rPr>
    </w:pPr>
    <w:r w:rsidRPr="001422F8">
      <w:rPr>
        <w:rFonts w:ascii="Calibri" w:hAnsi="Calibri"/>
        <w:sz w:val="18"/>
        <w:szCs w:val="18"/>
      </w:rPr>
      <w:t xml:space="preserve">Page </w:t>
    </w:r>
    <w:r w:rsidRPr="001422F8">
      <w:rPr>
        <w:rFonts w:ascii="Calibri" w:hAnsi="Calibri"/>
        <w:sz w:val="18"/>
        <w:szCs w:val="18"/>
      </w:rPr>
      <w:fldChar w:fldCharType="begin"/>
    </w:r>
    <w:r w:rsidRPr="001422F8">
      <w:rPr>
        <w:rFonts w:ascii="Calibri" w:hAnsi="Calibri"/>
        <w:sz w:val="18"/>
        <w:szCs w:val="18"/>
      </w:rPr>
      <w:instrText xml:space="preserve"> PAGE </w:instrText>
    </w:r>
    <w:r w:rsidRPr="001422F8">
      <w:rPr>
        <w:rFonts w:ascii="Calibri" w:hAnsi="Calibri"/>
        <w:sz w:val="18"/>
        <w:szCs w:val="18"/>
      </w:rPr>
      <w:fldChar w:fldCharType="separate"/>
    </w:r>
    <w:r w:rsidR="006114A7">
      <w:rPr>
        <w:rFonts w:ascii="Calibri" w:hAnsi="Calibri"/>
        <w:noProof/>
        <w:sz w:val="18"/>
        <w:szCs w:val="18"/>
      </w:rPr>
      <w:t>3</w:t>
    </w:r>
    <w:r w:rsidRPr="001422F8">
      <w:rPr>
        <w:rFonts w:ascii="Calibri" w:hAnsi="Calibri"/>
        <w:sz w:val="18"/>
        <w:szCs w:val="18"/>
      </w:rPr>
      <w:fldChar w:fldCharType="end"/>
    </w:r>
    <w:r w:rsidRPr="001422F8">
      <w:rPr>
        <w:rFonts w:ascii="Calibri" w:hAnsi="Calibri"/>
        <w:sz w:val="18"/>
        <w:szCs w:val="18"/>
      </w:rPr>
      <w:t xml:space="preserve"> of </w:t>
    </w:r>
    <w:r w:rsidRPr="001422F8">
      <w:rPr>
        <w:rFonts w:ascii="Calibri" w:hAnsi="Calibri"/>
        <w:sz w:val="18"/>
        <w:szCs w:val="18"/>
      </w:rPr>
      <w:fldChar w:fldCharType="begin"/>
    </w:r>
    <w:r w:rsidRPr="001422F8">
      <w:rPr>
        <w:rFonts w:ascii="Calibri" w:hAnsi="Calibri"/>
        <w:sz w:val="18"/>
        <w:szCs w:val="18"/>
      </w:rPr>
      <w:instrText xml:space="preserve"> NUMPAGES </w:instrText>
    </w:r>
    <w:r w:rsidRPr="001422F8">
      <w:rPr>
        <w:rFonts w:ascii="Calibri" w:hAnsi="Calibri"/>
        <w:sz w:val="18"/>
        <w:szCs w:val="18"/>
      </w:rPr>
      <w:fldChar w:fldCharType="separate"/>
    </w:r>
    <w:r w:rsidR="006114A7">
      <w:rPr>
        <w:rFonts w:ascii="Calibri" w:hAnsi="Calibri"/>
        <w:noProof/>
        <w:sz w:val="18"/>
        <w:szCs w:val="18"/>
      </w:rPr>
      <w:t>3</w:t>
    </w:r>
    <w:r w:rsidRPr="001422F8">
      <w:rPr>
        <w:rFonts w:ascii="Calibri" w:hAnsi="Calibri"/>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51525" w14:textId="77777777" w:rsidR="00F10366" w:rsidRDefault="00F10366">
    <w:pPr>
      <w:pStyle w:val="Header"/>
    </w:pPr>
    <w:r>
      <w:rPr>
        <w:noProof/>
      </w:rPr>
      <w:pict w14:anchorId="4315E4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32.05pt;margin-top:-20.8pt;width:568.1pt;height:81.35pt;z-index:-251659264;mso-position-horizontal-relative:margin">
          <v:imagedata r:id="rId1" o:title="letterhead_top22"/>
          <w10:wrap anchorx="margin"/>
        </v:shape>
      </w:pict>
    </w:r>
  </w:p>
  <w:p w14:paraId="34791C3C" w14:textId="77777777" w:rsidR="00F10366" w:rsidRDefault="00F10366">
    <w:pPr>
      <w:pStyle w:val="Header"/>
    </w:pPr>
  </w:p>
  <w:p w14:paraId="253D03F0" w14:textId="77777777" w:rsidR="00F10366" w:rsidRDefault="00F10366">
    <w:pPr>
      <w:pStyle w:val="Header"/>
    </w:pPr>
  </w:p>
  <w:p w14:paraId="30CCD55F" w14:textId="77777777" w:rsidR="00F10366" w:rsidRDefault="00F10366">
    <w:pPr>
      <w:pStyle w:val="Header"/>
    </w:pPr>
  </w:p>
  <w:p w14:paraId="3D22666B" w14:textId="77777777" w:rsidR="00F10366" w:rsidRDefault="00F103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B1D75"/>
    <w:multiLevelType w:val="hybridMultilevel"/>
    <w:tmpl w:val="9B629C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6D16656"/>
    <w:multiLevelType w:val="hybridMultilevel"/>
    <w:tmpl w:val="731A3AF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7F5F45"/>
    <w:multiLevelType w:val="hybridMultilevel"/>
    <w:tmpl w:val="2CD68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0408CE"/>
    <w:multiLevelType w:val="hybridMultilevel"/>
    <w:tmpl w:val="D81096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46943FD"/>
    <w:multiLevelType w:val="hybridMultilevel"/>
    <w:tmpl w:val="F0BCE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7653E91"/>
    <w:multiLevelType w:val="hybridMultilevel"/>
    <w:tmpl w:val="4E047C38"/>
    <w:lvl w:ilvl="0" w:tplc="BDC264D2">
      <w:start w:val="1"/>
      <w:numFmt w:val="decimal"/>
      <w:lvlText w:val="%1."/>
      <w:lvlJc w:val="left"/>
      <w:pPr>
        <w:ind w:left="735" w:hanging="375"/>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7D377F18"/>
    <w:multiLevelType w:val="hybridMultilevel"/>
    <w:tmpl w:val="1CA69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3505139">
    <w:abstractNumId w:val="6"/>
  </w:num>
  <w:num w:numId="2" w16cid:durableId="476461935">
    <w:abstractNumId w:val="5"/>
  </w:num>
  <w:num w:numId="3" w16cid:durableId="1240559405">
    <w:abstractNumId w:val="0"/>
  </w:num>
  <w:num w:numId="4" w16cid:durableId="1838112357">
    <w:abstractNumId w:val="1"/>
  </w:num>
  <w:num w:numId="5" w16cid:durableId="615603885">
    <w:abstractNumId w:val="3"/>
  </w:num>
  <w:num w:numId="6" w16cid:durableId="1496845652">
    <w:abstractNumId w:val="2"/>
  </w:num>
  <w:num w:numId="7" w16cid:durableId="292517909">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white"/>
    </o:shapedefaults>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E1F94"/>
    <w:rsid w:val="00006FC0"/>
    <w:rsid w:val="000339F5"/>
    <w:rsid w:val="00091439"/>
    <w:rsid w:val="000F70DE"/>
    <w:rsid w:val="00104BE0"/>
    <w:rsid w:val="001350E7"/>
    <w:rsid w:val="001422F8"/>
    <w:rsid w:val="0015399B"/>
    <w:rsid w:val="0016261D"/>
    <w:rsid w:val="0017295E"/>
    <w:rsid w:val="001F642A"/>
    <w:rsid w:val="00200AC5"/>
    <w:rsid w:val="00300300"/>
    <w:rsid w:val="003B3AD9"/>
    <w:rsid w:val="003E4039"/>
    <w:rsid w:val="00403D40"/>
    <w:rsid w:val="004A07F6"/>
    <w:rsid w:val="0052059C"/>
    <w:rsid w:val="00521953"/>
    <w:rsid w:val="00521BE0"/>
    <w:rsid w:val="005910EE"/>
    <w:rsid w:val="005B3AEF"/>
    <w:rsid w:val="006114A7"/>
    <w:rsid w:val="00642634"/>
    <w:rsid w:val="00707608"/>
    <w:rsid w:val="007E6314"/>
    <w:rsid w:val="00814AD1"/>
    <w:rsid w:val="00915B8D"/>
    <w:rsid w:val="00936687"/>
    <w:rsid w:val="00973A03"/>
    <w:rsid w:val="0097734F"/>
    <w:rsid w:val="009B2970"/>
    <w:rsid w:val="00A34633"/>
    <w:rsid w:val="00A6065C"/>
    <w:rsid w:val="00A776A3"/>
    <w:rsid w:val="00A82AF5"/>
    <w:rsid w:val="00A93875"/>
    <w:rsid w:val="00AB3F96"/>
    <w:rsid w:val="00AD54FF"/>
    <w:rsid w:val="00B15925"/>
    <w:rsid w:val="00B403C8"/>
    <w:rsid w:val="00BB009F"/>
    <w:rsid w:val="00BC35DF"/>
    <w:rsid w:val="00C03D59"/>
    <w:rsid w:val="00C66C57"/>
    <w:rsid w:val="00CE1F94"/>
    <w:rsid w:val="00D06093"/>
    <w:rsid w:val="00D1483D"/>
    <w:rsid w:val="00D23B7A"/>
    <w:rsid w:val="00D25FA1"/>
    <w:rsid w:val="00D503F4"/>
    <w:rsid w:val="00D509C4"/>
    <w:rsid w:val="00DF415B"/>
    <w:rsid w:val="00E055FE"/>
    <w:rsid w:val="00E8703C"/>
    <w:rsid w:val="00E95573"/>
    <w:rsid w:val="00EE2483"/>
    <w:rsid w:val="00EF14E3"/>
    <w:rsid w:val="00F07679"/>
    <w:rsid w:val="00F10366"/>
    <w:rsid w:val="00F87901"/>
    <w:rsid w:val="00FD3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white"/>
    </o:shapedefaults>
    <o:shapelayout v:ext="edit">
      <o:idmap v:ext="edit" data="2"/>
    </o:shapelayout>
  </w:shapeDefaults>
  <w:decimalSymbol w:val="."/>
  <w:listSeparator w:val=","/>
  <w14:docId w14:val="0A3BC64A"/>
  <w15:chartTrackingRefBased/>
  <w15:docId w15:val="{90382373-3DF4-41A2-8627-9329B56D2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CE1F94"/>
    <w:pPr>
      <w:tabs>
        <w:tab w:val="center" w:pos="4320"/>
        <w:tab w:val="right" w:pos="8640"/>
      </w:tabs>
    </w:pPr>
  </w:style>
  <w:style w:type="paragraph" w:styleId="Footer">
    <w:name w:val="footer"/>
    <w:basedOn w:val="Normal"/>
    <w:rsid w:val="00CE1F94"/>
    <w:pPr>
      <w:tabs>
        <w:tab w:val="center" w:pos="4320"/>
        <w:tab w:val="right" w:pos="8640"/>
      </w:tabs>
    </w:pPr>
  </w:style>
  <w:style w:type="character" w:styleId="Hyperlink">
    <w:name w:val="Hyperlink"/>
    <w:rsid w:val="00BB009F"/>
    <w:rPr>
      <w:color w:val="0000FF"/>
      <w:u w:val="single"/>
    </w:rPr>
  </w:style>
  <w:style w:type="character" w:styleId="Strong">
    <w:name w:val="Strong"/>
    <w:uiPriority w:val="22"/>
    <w:qFormat/>
    <w:rsid w:val="000F70DE"/>
    <w:rPr>
      <w:b/>
      <w:bCs/>
    </w:rPr>
  </w:style>
  <w:style w:type="character" w:customStyle="1" w:styleId="HeaderChar">
    <w:name w:val="Header Char"/>
    <w:link w:val="Header"/>
    <w:rsid w:val="00521953"/>
  </w:style>
  <w:style w:type="paragraph" w:styleId="BalloonText">
    <w:name w:val="Balloon Text"/>
    <w:basedOn w:val="Normal"/>
    <w:link w:val="BalloonTextChar"/>
    <w:rsid w:val="00521953"/>
    <w:rPr>
      <w:rFonts w:ascii="Tahoma" w:hAnsi="Tahoma" w:cs="Tahoma"/>
      <w:sz w:val="16"/>
      <w:szCs w:val="16"/>
    </w:rPr>
  </w:style>
  <w:style w:type="character" w:customStyle="1" w:styleId="BalloonTextChar">
    <w:name w:val="Balloon Text Char"/>
    <w:link w:val="BalloonText"/>
    <w:rsid w:val="00521953"/>
    <w:rPr>
      <w:rFonts w:ascii="Tahoma" w:hAnsi="Tahoma" w:cs="Tahoma"/>
      <w:sz w:val="16"/>
      <w:szCs w:val="16"/>
    </w:rPr>
  </w:style>
  <w:style w:type="paragraph" w:styleId="ListParagraph">
    <w:name w:val="List Paragraph"/>
    <w:basedOn w:val="Normal"/>
    <w:uiPriority w:val="34"/>
    <w:qFormat/>
    <w:rsid w:val="003E4039"/>
    <w:pPr>
      <w:ind w:left="720"/>
    </w:pPr>
  </w:style>
  <w:style w:type="paragraph" w:customStyle="1" w:styleId="Default">
    <w:name w:val="Default"/>
    <w:rsid w:val="00DF415B"/>
    <w:pPr>
      <w:autoSpaceDE w:val="0"/>
      <w:autoSpaceDN w:val="0"/>
      <w:adjustRightInd w:val="0"/>
    </w:pPr>
    <w:rPr>
      <w:color w:val="000000"/>
      <w:sz w:val="24"/>
      <w:szCs w:val="24"/>
    </w:rPr>
  </w:style>
  <w:style w:type="character" w:styleId="FollowedHyperlink">
    <w:name w:val="FollowedHyperlink"/>
    <w:rsid w:val="00200AC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6231">
      <w:bodyDiv w:val="1"/>
      <w:marLeft w:val="0"/>
      <w:marRight w:val="0"/>
      <w:marTop w:val="0"/>
      <w:marBottom w:val="0"/>
      <w:divBdr>
        <w:top w:val="none" w:sz="0" w:space="0" w:color="auto"/>
        <w:left w:val="none" w:sz="0" w:space="0" w:color="auto"/>
        <w:bottom w:val="none" w:sz="0" w:space="0" w:color="auto"/>
        <w:right w:val="none" w:sz="0" w:space="0" w:color="auto"/>
      </w:divBdr>
    </w:div>
    <w:div w:id="172115881">
      <w:bodyDiv w:val="1"/>
      <w:marLeft w:val="0"/>
      <w:marRight w:val="0"/>
      <w:marTop w:val="0"/>
      <w:marBottom w:val="0"/>
      <w:divBdr>
        <w:top w:val="none" w:sz="0" w:space="0" w:color="auto"/>
        <w:left w:val="none" w:sz="0" w:space="0" w:color="auto"/>
        <w:bottom w:val="none" w:sz="0" w:space="0" w:color="auto"/>
        <w:right w:val="none" w:sz="0" w:space="0" w:color="auto"/>
      </w:divBdr>
    </w:div>
    <w:div w:id="313070887">
      <w:bodyDiv w:val="1"/>
      <w:marLeft w:val="0"/>
      <w:marRight w:val="0"/>
      <w:marTop w:val="0"/>
      <w:marBottom w:val="0"/>
      <w:divBdr>
        <w:top w:val="none" w:sz="0" w:space="0" w:color="auto"/>
        <w:left w:val="none" w:sz="0" w:space="0" w:color="auto"/>
        <w:bottom w:val="none" w:sz="0" w:space="0" w:color="auto"/>
        <w:right w:val="none" w:sz="0" w:space="0" w:color="auto"/>
      </w:divBdr>
    </w:div>
    <w:div w:id="114053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fhwa.dot.gov/engineering/geotech/pubs/nhi10024/nhi10024.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3488E-A812-4C87-9C39-35E424853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968</Words>
  <Characters>5521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Hilfiker Retaining Walls</Company>
  <LinksUpToDate>false</LinksUpToDate>
  <CharactersWithSpaces>6477</CharactersWithSpaces>
  <SharedDoc>false</SharedDoc>
  <HLinks>
    <vt:vector size="12" baseType="variant">
      <vt:variant>
        <vt:i4>7143539</vt:i4>
      </vt:variant>
      <vt:variant>
        <vt:i4>3</vt:i4>
      </vt:variant>
      <vt:variant>
        <vt:i4>0</vt:i4>
      </vt:variant>
      <vt:variant>
        <vt:i4>5</vt:i4>
      </vt:variant>
      <vt:variant>
        <vt:lpwstr>https://www.fhwa.dot.gov/engineering/geotech/pubs/nhi10024/nhi10024.pdf</vt:lpwstr>
      </vt:variant>
      <vt:variant>
        <vt:lpwstr/>
      </vt:variant>
      <vt:variant>
        <vt:i4>7602196</vt:i4>
      </vt:variant>
      <vt:variant>
        <vt:i4>0</vt:i4>
      </vt:variant>
      <vt:variant>
        <vt:i4>0</vt:i4>
      </vt:variant>
      <vt:variant>
        <vt:i4>5</vt:i4>
      </vt:variant>
      <vt:variant>
        <vt:lpwstr>http://pdf.usaid.gov/pdf_docs/PNABJ854.pdf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c:creator>
  <cp:keywords/>
  <cp:lastModifiedBy>Steven Castaneda</cp:lastModifiedBy>
  <cp:revision>2</cp:revision>
  <cp:lastPrinted>2019-11-18T22:10:00Z</cp:lastPrinted>
  <dcterms:created xsi:type="dcterms:W3CDTF">2026-09-02T17:04:00Z</dcterms:created>
  <dcterms:modified xsi:type="dcterms:W3CDTF">2026-09-02T17:04:00Z</dcterms:modified>
</cp:coreProperties>
</file>